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fly-20251231.htm"/>
        <w:bookmarkStart w:id="1" w:name="ksfly20251231"/>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page">
                  <wp:posOffset>718820</wp:posOffset>
                </wp:positionH>
                <wp:positionV relativeFrom="page">
                  <wp:posOffset>9504680</wp:posOffset>
                </wp:positionV>
                <wp:extent cx="1499870" cy="189230"/>
                <wp:effectExtent l="0" t="0" r="0" b="0"/>
                <wp:wrapNone/>
                <wp:docPr id="1" name="Frame8"/>
                <a:graphic xmlns:a="http://schemas.openxmlformats.org/drawingml/2006/main">
                  <a:graphicData uri="http://schemas.microsoft.com/office/word/2010/wordprocessingShape">
                    <wps:wsp>
                      <wps:cNvSpPr txBox="1"/>
                      <wps:spPr>
                        <a:xfrm>
                          <a:off x="0" y="0"/>
                          <a:ext cx="1499870" cy="189230"/>
                        </a:xfrm>
                        <a:prstGeom prst="rect"/>
                        <a:solidFill>
                          <a:srgbClr val="FFFFFF"/>
                        </a:solidFill>
                      </wps:spPr>
                      <wps:txbx>
                        <w:txbxContent>
                          <w:p>
                            <w:pPr>
                              <w:pStyle w:val="TextBody"/>
                              <w:bidi w:val="0"/>
                              <w:spacing w:before="22"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18.1pt;height:14.9pt;mso-wrap-distance-left:0pt;mso-wrap-distance-right:0pt;mso-wrap-distance-top:0pt;mso-wrap-distance-bottom:0pt;margin-top:748.4pt;mso-position-vertical-relative:page;margin-left:56.6pt;mso-position-horizontal-relative:page">
                <v:textbox inset="0in,0in,0in,0in">
                  <w:txbxContent>
                    <w:p>
                      <w:pPr>
                        <w:pStyle w:val="TextBody"/>
                        <w:bidi w:val="0"/>
                        <w:spacing w:before="22"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718820</wp:posOffset>
                </wp:positionH>
                <wp:positionV relativeFrom="page">
                  <wp:posOffset>9504680</wp:posOffset>
                </wp:positionV>
                <wp:extent cx="1499870" cy="189230"/>
                <wp:effectExtent l="0" t="0" r="0" b="0"/>
                <wp:wrapNone/>
                <wp:docPr id="2" name="Frame7"/>
                <a:graphic xmlns:a="http://schemas.openxmlformats.org/drawingml/2006/main">
                  <a:graphicData uri="http://schemas.microsoft.com/office/word/2010/wordprocessingShape">
                    <wps:wsp>
                      <wps:cNvSpPr txBox="1"/>
                      <wps:spPr>
                        <a:xfrm>
                          <a:off x="0" y="0"/>
                          <a:ext cx="1499870" cy="189230"/>
                        </a:xfrm>
                        <a:prstGeom prst="rect"/>
                        <a:solidFill>
                          <a:srgbClr val="FFFFFF"/>
                        </a:solidFill>
                      </wps:spPr>
                      <wps:txbx>
                        <w:txbxContent>
                          <w:p>
                            <w:pPr>
                              <w:pStyle w:val="TextBody"/>
                              <w:bidi w:val="0"/>
                              <w:spacing w:before="22"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18.1pt;height:14.9pt;mso-wrap-distance-left:0pt;mso-wrap-distance-right:0pt;mso-wrap-distance-top:0pt;mso-wrap-distance-bottom:0pt;margin-top:748.4pt;mso-position-vertical-relative:page;margin-left:56.6pt;mso-position-horizontal-relative:page">
                <v:textbox inset="0in,0in,0in,0in">
                  <w:txbxContent>
                    <w:p>
                      <w:pPr>
                        <w:pStyle w:val="TextBody"/>
                        <w:bidi w:val="0"/>
                        <w:spacing w:before="22"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718820</wp:posOffset>
                </wp:positionH>
                <wp:positionV relativeFrom="page">
                  <wp:posOffset>9504680</wp:posOffset>
                </wp:positionV>
                <wp:extent cx="1499870" cy="189230"/>
                <wp:effectExtent l="0" t="0" r="0" b="0"/>
                <wp:wrapNone/>
                <wp:docPr id="3" name="Frame6"/>
                <a:graphic xmlns:a="http://schemas.openxmlformats.org/drawingml/2006/main">
                  <a:graphicData uri="http://schemas.microsoft.com/office/word/2010/wordprocessingShape">
                    <wps:wsp>
                      <wps:cNvSpPr txBox="1"/>
                      <wps:spPr>
                        <a:xfrm>
                          <a:off x="0" y="0"/>
                          <a:ext cx="1499870" cy="189230"/>
                        </a:xfrm>
                        <a:prstGeom prst="rect"/>
                        <a:solidFill>
                          <a:srgbClr val="FFFFFF"/>
                        </a:solidFill>
                      </wps:spPr>
                      <wps:txbx>
                        <w:txbxContent>
                          <w:p>
                            <w:pPr>
                              <w:pStyle w:val="TextBody"/>
                              <w:bidi w:val="0"/>
                              <w:spacing w:before="22"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18.1pt;height:14.9pt;mso-wrap-distance-left:0pt;mso-wrap-distance-right:0pt;mso-wrap-distance-top:0pt;mso-wrap-distance-bottom:0pt;margin-top:748.4pt;mso-position-vertical-relative:page;margin-left:56.6pt;mso-position-horizontal-relative:page">
                <v:textbox inset="0in,0in,0in,0in">
                  <w:txbxContent>
                    <w:p>
                      <w:pPr>
                        <w:pStyle w:val="TextBody"/>
                        <w:bidi w:val="0"/>
                        <w:spacing w:before="22"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718820</wp:posOffset>
                </wp:positionH>
                <wp:positionV relativeFrom="page">
                  <wp:posOffset>9504680</wp:posOffset>
                </wp:positionV>
                <wp:extent cx="1499870" cy="189230"/>
                <wp:effectExtent l="0" t="0" r="0" b="0"/>
                <wp:wrapNone/>
                <wp:docPr id="4" name="Frame5"/>
                <a:graphic xmlns:a="http://schemas.openxmlformats.org/drawingml/2006/main">
                  <a:graphicData uri="http://schemas.microsoft.com/office/word/2010/wordprocessingShape">
                    <wps:wsp>
                      <wps:cNvSpPr txBox="1"/>
                      <wps:spPr>
                        <a:xfrm>
                          <a:off x="0" y="0"/>
                          <a:ext cx="1499870" cy="189230"/>
                        </a:xfrm>
                        <a:prstGeom prst="rect"/>
                        <a:solidFill>
                          <a:srgbClr val="FFFFFF"/>
                        </a:solidFill>
                      </wps:spPr>
                      <wps:txbx>
                        <w:txbxContent>
                          <w:p>
                            <w:pPr>
                              <w:pStyle w:val="TextBody"/>
                              <w:bidi w:val="0"/>
                              <w:spacing w:before="22"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18.1pt;height:14.9pt;mso-wrap-distance-left:0pt;mso-wrap-distance-right:0pt;mso-wrap-distance-top:0pt;mso-wrap-distance-bottom:0pt;margin-top:748.4pt;mso-position-vertical-relative:page;margin-left:56.6pt;mso-position-horizontal-relative:page">
                <v:textbox inset="0in,0in,0in,0in">
                  <w:txbxContent>
                    <w:p>
                      <w:pPr>
                        <w:pStyle w:val="TextBody"/>
                        <w:bidi w:val="0"/>
                        <w:spacing w:before="22"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718820</wp:posOffset>
                </wp:positionH>
                <wp:positionV relativeFrom="page">
                  <wp:posOffset>9504680</wp:posOffset>
                </wp:positionV>
                <wp:extent cx="1499870" cy="189230"/>
                <wp:effectExtent l="0" t="0" r="0" b="0"/>
                <wp:wrapNone/>
                <wp:docPr id="5" name="Frame4"/>
                <a:graphic xmlns:a="http://schemas.openxmlformats.org/drawingml/2006/main">
                  <a:graphicData uri="http://schemas.microsoft.com/office/word/2010/wordprocessingShape">
                    <wps:wsp>
                      <wps:cNvSpPr txBox="1"/>
                      <wps:spPr>
                        <a:xfrm>
                          <a:off x="0" y="0"/>
                          <a:ext cx="1499870" cy="189230"/>
                        </a:xfrm>
                        <a:prstGeom prst="rect"/>
                        <a:solidFill>
                          <a:srgbClr val="FFFFFF"/>
                        </a:solidFill>
                      </wps:spPr>
                      <wps:txbx>
                        <w:txbxContent>
                          <w:p>
                            <w:pPr>
                              <w:pStyle w:val="TextBody"/>
                              <w:bidi w:val="0"/>
                              <w:spacing w:before="22"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18.1pt;height:14.9pt;mso-wrap-distance-left:0pt;mso-wrap-distance-right:0pt;mso-wrap-distance-top:0pt;mso-wrap-distance-bottom:0pt;margin-top:748.4pt;mso-position-vertical-relative:page;margin-left:56.6pt;mso-position-horizontal-relative:page">
                <v:textbox inset="0in,0in,0in,0in">
                  <w:txbxContent>
                    <w:p>
                      <w:pPr>
                        <w:pStyle w:val="TextBody"/>
                        <w:bidi w:val="0"/>
                        <w:spacing w:before="22"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718820</wp:posOffset>
                </wp:positionH>
                <wp:positionV relativeFrom="page">
                  <wp:posOffset>9504680</wp:posOffset>
                </wp:positionV>
                <wp:extent cx="1499870" cy="189230"/>
                <wp:effectExtent l="0" t="0" r="0" b="0"/>
                <wp:wrapNone/>
                <wp:docPr id="6" name="Frame3"/>
                <a:graphic xmlns:a="http://schemas.openxmlformats.org/drawingml/2006/main">
                  <a:graphicData uri="http://schemas.microsoft.com/office/word/2010/wordprocessingShape">
                    <wps:wsp>
                      <wps:cNvSpPr txBox="1"/>
                      <wps:spPr>
                        <a:xfrm>
                          <a:off x="0" y="0"/>
                          <a:ext cx="1499870" cy="189230"/>
                        </a:xfrm>
                        <a:prstGeom prst="rect"/>
                        <a:solidFill>
                          <a:srgbClr val="FFFFFF"/>
                        </a:solidFill>
                      </wps:spPr>
                      <wps:txbx>
                        <w:txbxContent>
                          <w:p>
                            <w:pPr>
                              <w:pStyle w:val="TextBody"/>
                              <w:bidi w:val="0"/>
                              <w:spacing w:before="22"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18.1pt;height:14.9pt;mso-wrap-distance-left:0pt;mso-wrap-distance-right:0pt;mso-wrap-distance-top:0pt;mso-wrap-distance-bottom:0pt;margin-top:748.4pt;mso-position-vertical-relative:page;margin-left:56.6pt;mso-position-horizontal-relative:page">
                <v:textbox inset="0in,0in,0in,0in">
                  <w:txbxContent>
                    <w:p>
                      <w:pPr>
                        <w:pStyle w:val="TextBody"/>
                        <w:bidi w:val="0"/>
                        <w:spacing w:before="22"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718820</wp:posOffset>
                </wp:positionH>
                <wp:positionV relativeFrom="page">
                  <wp:posOffset>9504680</wp:posOffset>
                </wp:positionV>
                <wp:extent cx="1499870" cy="189230"/>
                <wp:effectExtent l="0" t="0" r="0" b="0"/>
                <wp:wrapNone/>
                <wp:docPr id="7" name="Frame2"/>
                <a:graphic xmlns:a="http://schemas.openxmlformats.org/drawingml/2006/main">
                  <a:graphicData uri="http://schemas.microsoft.com/office/word/2010/wordprocessingShape">
                    <wps:wsp>
                      <wps:cNvSpPr txBox="1"/>
                      <wps:spPr>
                        <a:xfrm>
                          <a:off x="0" y="0"/>
                          <a:ext cx="1499870" cy="189230"/>
                        </a:xfrm>
                        <a:prstGeom prst="rect"/>
                        <a:solidFill>
                          <a:srgbClr val="FFFFFF"/>
                        </a:solidFill>
                      </wps:spPr>
                      <wps:txbx>
                        <w:txbxContent>
                          <w:p>
                            <w:pPr>
                              <w:pStyle w:val="TextBody"/>
                              <w:bidi w:val="0"/>
                              <w:spacing w:before="22"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18.1pt;height:14.9pt;mso-wrap-distance-left:0pt;mso-wrap-distance-right:0pt;mso-wrap-distance-top:0pt;mso-wrap-distance-bottom:0pt;margin-top:748.4pt;mso-position-vertical-relative:page;margin-left:56.6pt;mso-position-horizontal-relative:page">
                <v:textbox inset="0in,0in,0in,0in">
                  <w:txbxContent>
                    <w:p>
                      <w:pPr>
                        <w:pStyle w:val="TextBody"/>
                        <w:bidi w:val="0"/>
                        <w:spacing w:before="22"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2695575</wp:posOffset>
                </wp:positionH>
                <wp:positionV relativeFrom="page">
                  <wp:posOffset>9429750</wp:posOffset>
                </wp:positionV>
                <wp:extent cx="2378710" cy="180975"/>
                <wp:effectExtent l="0" t="0" r="0" b="0"/>
                <wp:wrapNone/>
                <wp:docPr id="8" name="Frame1"/>
                <a:graphic xmlns:a="http://schemas.openxmlformats.org/drawingml/2006/main">
                  <a:graphicData uri="http://schemas.microsoft.com/office/word/2010/wordprocessingShape">
                    <wps:wsp>
                      <wps:cNvSpPr txBox="1"/>
                      <wps:spPr>
                        <a:xfrm>
                          <a:off x="0" y="0"/>
                          <a:ext cx="2378710" cy="180975"/>
                        </a:xfrm>
                        <a:prstGeom prst="rect"/>
                        <a:solidFill>
                          <a:srgbClr val="FFFFFF"/>
                        </a:solidFill>
                      </wps:spPr>
                      <wps:txbx>
                        <w:txbxContent>
                          <w:p>
                            <w:pPr>
                              <w:pStyle w:val="TextBody"/>
                              <w:bidi w:val="0"/>
                              <w:spacing w:before="11" w:after="283"/>
                              <w:ind w:left="20" w:right="0" w:hanging="0"/>
                              <w:jc w:val="left"/>
                              <w:rPr>
                                <w:rFonts w:ascii="Times New Roman" w:hAnsi="Times New Roman"/>
                                <w:i/>
                                <w:color w:val="000000"/>
                                <w:sz w:val="22"/>
                              </w:rPr>
                            </w:pPr>
                            <w:r>
                              <w:rPr>
                                <w:rFonts w:ascii="Times New Roman" w:hAnsi="Times New Roman"/>
                                <w:i/>
                                <w:color w:val="000000"/>
                                <w:sz w:val="22"/>
                              </w:rPr>
                              <w:t>[Signature Page to Omnibus Amendment]</w:t>
                            </w:r>
                          </w:p>
                        </w:txbxContent>
                      </wps:txbx>
                      <wps:bodyPr anchor="t" lIns="0" tIns="0" rIns="0" bIns="0">
                        <a:noAutofit/>
                      </wps:bodyPr>
                    </wps:wsp>
                  </a:graphicData>
                </a:graphic>
              </wp:anchor>
            </w:drawing>
          </mc:Choice>
          <mc:Fallback>
            <w:pict>
              <v:rect style="position:absolute;rotation:-0;width:187.3pt;height:14.25pt;mso-wrap-distance-left:0pt;mso-wrap-distance-right:0pt;mso-wrap-distance-top:0pt;mso-wrap-distance-bottom:0pt;margin-top:742.5pt;mso-position-vertical-relative:page;margin-left:212.25pt;mso-position-horizontal-relative:page">
                <v:textbox inset="0in,0in,0in,0in">
                  <w:txbxContent>
                    <w:p>
                      <w:pPr>
                        <w:pStyle w:val="TextBody"/>
                        <w:bidi w:val="0"/>
                        <w:spacing w:before="11" w:after="283"/>
                        <w:ind w:left="20" w:right="0" w:hanging="0"/>
                        <w:jc w:val="left"/>
                        <w:rPr>
                          <w:rFonts w:ascii="Times New Roman" w:hAnsi="Times New Roman"/>
                          <w:i/>
                          <w:color w:val="000000"/>
                          <w:sz w:val="22"/>
                        </w:rPr>
                      </w:pPr>
                      <w:r>
                        <w:rPr>
                          <w:rFonts w:ascii="Times New Roman" w:hAnsi="Times New Roman"/>
                          <w:i/>
                          <w:color w:val="000000"/>
                          <w:sz w:val="22"/>
                        </w:rPr>
                        <w:t>[Signature Page to Omnibus Amendment]</w:t>
                      </w:r>
                    </w:p>
                  </w:txbxContent>
                </v:textbox>
                <w10:wrap type="none"/>
              </v:rect>
            </w:pict>
          </mc:Fallback>
        </mc:AlternateConten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sz w:val="20"/>
        </w:rPr>
      </w:pPr>
      <w:r>
        <w:rPr>
          <w:rFonts w:ascii="Times New Roman" w:hAnsi="Times New Roman"/>
          <w:b/>
          <w:smallCaps/>
          <w:color w:val="000000"/>
          <w:sz w:val="20"/>
        </w:rPr>
        <w:t>W</w:t>
      </w:r>
      <w:r>
        <w:rPr>
          <w:rFonts w:ascii="Times New Roman" w:hAnsi="Times New Roman"/>
          <w:b/>
          <w:color w:val="000000"/>
          <w:sz w:val="20"/>
        </w:rPr>
        <w:t>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jc w:val="center"/>
        <w:rPr>
          <w:rFonts w:ascii="Times New Roman" w:hAnsi="Times New Roman"/>
          <w:b/>
          <w:color w:val="000000"/>
          <w:sz w:val="18"/>
        </w:rPr>
      </w:pPr>
      <w:r>
        <w:rPr>
          <w:rFonts w:ascii="Times New Roman" w:hAnsi="Times New Roman"/>
          <w:b/>
          <w:color w:val="000000"/>
          <w:sz w:val="18"/>
        </w:rPr>
        <w:t>or</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 the transition period from ___________ to ___________</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001-42789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Firefly Aerospace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81-5194980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1320 Arrow Point Drive #109</w:t>
            </w:r>
          </w:p>
          <w:p>
            <w:pPr>
              <w:pStyle w:val="TableContents"/>
              <w:bidi w:val="0"/>
              <w:spacing w:before="0" w:after="15"/>
              <w:jc w:val="center"/>
              <w:rPr>
                <w:rFonts w:ascii="Times New Roman" w:hAnsi="Times New Roman"/>
                <w:sz w:val="20"/>
              </w:rPr>
            </w:pPr>
            <w:r>
              <w:rPr>
                <w:rFonts w:ascii="Times New Roman" w:hAnsi="Times New Roman"/>
                <w:b/>
                <w:color w:val="000000"/>
                <w:sz w:val="18"/>
              </w:rPr>
              <w:t>Cedar Park</w:t>
            </w:r>
            <w:r>
              <w:rPr>
                <w:rFonts w:ascii="Times New Roman" w:hAnsi="Times New Roman"/>
                <w:b/>
                <w:color w:val="000000"/>
                <w:sz w:val="20"/>
              </w:rPr>
              <w:t xml:space="preserve">, </w:t>
            </w:r>
            <w:r>
              <w:rPr>
                <w:rFonts w:ascii="Times New Roman" w:hAnsi="Times New Roman"/>
                <w:b/>
                <w:color w:val="000000"/>
                <w:sz w:val="18"/>
              </w:rPr>
              <w:t>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78613</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18"/>
        </w:rPr>
        <w:t>512</w:t>
      </w:r>
      <w:r>
        <w:rPr>
          <w:rFonts w:ascii="Times New Roman" w:hAnsi="Times New Roman"/>
          <w:color w:val="000000"/>
          <w:sz w:val="18"/>
        </w:rPr>
        <w:t xml:space="preserve"> </w:t>
      </w:r>
      <w:r>
        <w:rPr>
          <w:rFonts w:ascii="Times New Roman" w:hAnsi="Times New Roman"/>
          <w:b/>
          <w:color w:val="000000"/>
          <w:sz w:val="18"/>
        </w:rPr>
        <w:t>893-5570</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both"/>
        <w:rPr>
          <w:rFonts w:ascii="Times New Roman" w:hAnsi="Times New Roman"/>
          <w:sz w:val="20"/>
        </w:rPr>
      </w:pPr>
      <w:r>
        <w:rPr>
          <w:rFonts w:ascii="Times New Roman" w:hAnsi="Times New Roman"/>
          <w:color w:val="000000"/>
          <w:sz w:val="15"/>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2566"/>
        <w:gridCol w:w="146"/>
        <w:gridCol w:w="826"/>
        <w:gridCol w:w="146"/>
        <w:gridCol w:w="403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0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No ☐</w:t>
      </w:r>
    </w:p>
    <w:p>
      <w:pPr>
        <w:pStyle w:val="TextBody"/>
        <w:bidi w:val="0"/>
        <w:spacing w:before="60" w:after="283"/>
        <w:jc w:val="both"/>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5"/>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There was no</w:t>
      </w:r>
      <w:r>
        <w:rPr>
          <w:rFonts w:ascii="Times New Roman" w:hAnsi="Times New Roman"/>
          <w:color w:val="000000"/>
          <w:sz w:val="20"/>
        </w:rPr>
        <w:t xml:space="preserve"> </w:t>
      </w:r>
      <w:r>
        <w:rPr>
          <w:rFonts w:ascii="Times New Roman" w:hAnsi="Times New Roman"/>
          <w:color w:val="000000"/>
          <w:sz w:val="15"/>
        </w:rPr>
        <w:t>public trading market for the registrant's common stock as of June 30, 2025, the last business day of the registrant's most recently completed second quarter, and therefore the registrant cannot calculate the aggregate market value of its common stock held by non-affiliates as of such date.</w:t>
      </w:r>
    </w:p>
    <w:p>
      <w:pPr>
        <w:pStyle w:val="TextBody"/>
        <w:bidi w:val="0"/>
        <w:spacing w:before="60" w:after="283"/>
        <w:jc w:val="both"/>
        <w:rPr>
          <w:rFonts w:ascii="Times New Roman" w:hAnsi="Times New Roman"/>
          <w:sz w:val="20"/>
        </w:rPr>
      </w:pPr>
      <w:r>
        <w:rPr>
          <w:rFonts w:ascii="Times New Roman" w:hAnsi="Times New Roman"/>
          <w:color w:val="000000"/>
          <w:sz w:val="15"/>
        </w:rPr>
        <w:t>As of March 17, 2026, the registrant had 159,952,387</w:t>
      </w:r>
      <w:r>
        <w:rPr>
          <w:rFonts w:ascii="Times New Roman" w:hAnsi="Times New Roman"/>
          <w:color w:val="000000"/>
          <w:sz w:val="20"/>
        </w:rPr>
        <w:t xml:space="preserve"> </w:t>
      </w:r>
      <w:r>
        <w:rPr>
          <w:rFonts w:ascii="Times New Roman" w:hAnsi="Times New Roman"/>
          <w:color w:val="000000"/>
          <w:sz w:val="15"/>
        </w:rPr>
        <w:t>shares of common stock outstanding.</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None.</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3"/>
        <w:gridCol w:w="8489"/>
        <w:gridCol w:w="603"/>
      </w:tblGrid>
      <w:tr>
        <w:trPr/>
        <w:tc>
          <w:tcPr>
            <w:tcW w:w="1113" w:type="dxa"/>
            <w:tcBorders/>
            <w:vAlign w:val="center"/>
          </w:tcPr>
          <w:p>
            <w:pPr>
              <w:pStyle w:val="TableContents"/>
              <w:bidi w:val="0"/>
              <w:spacing w:before="0" w:after="283"/>
              <w:jc w:val="left"/>
              <w:rPr>
                <w:sz w:val="4"/>
                <w:szCs w:val="4"/>
              </w:rPr>
            </w:pPr>
            <w:r>
              <w:rPr>
                <w:sz w:val="4"/>
                <w:szCs w:val="4"/>
              </w:rPr>
            </w:r>
          </w:p>
        </w:tc>
        <w:tc>
          <w:tcPr>
            <w:tcW w:w="848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52</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52</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53</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53</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000FF"/>
                  <w:sz w:val="20"/>
                  <w:u w:val="single"/>
                </w:rPr>
                <w:t>Mine Safety Disclosures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hyperlink w:anchor="item_6_reserved">
              <w:r>
                <w:rPr>
                  <w:rStyle w:val="InternetLink"/>
                  <w:rFonts w:ascii="Times New Roman" w:hAnsi="Times New Roman"/>
                  <w:color w:val="0000FF"/>
                  <w:sz w:val="20"/>
                </w:rPr>
                <w:t xml:space="preserve"> </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56</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71</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48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126</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127</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and Financial Statement Schedules</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6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132</w:t>
            </w:r>
          </w:p>
        </w:tc>
      </w:tr>
      <w:tr>
        <w:trPr/>
        <w:tc>
          <w:tcPr>
            <w:tcW w:w="111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signatures">
              <w:r>
                <w:rPr>
                  <w:rStyle w:val="InternetLink"/>
                  <w:rFonts w:ascii="Times New Roman" w:hAnsi="Times New Roman"/>
                  <w:color w:val="0000FF"/>
                  <w:sz w:val="20"/>
                  <w:u w:val="single"/>
                </w:rPr>
                <w:t>Signatures</w:t>
              </w:r>
            </w:hyperlink>
          </w:p>
        </w:tc>
        <w:tc>
          <w:tcPr>
            <w:tcW w:w="8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Cautionary Note Regarding Forward-Looking Statements</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This Annual Report on Form 10-K of Firefly Aerospace Inc. (the “Company,” “Firefly,” “we,” “us” or “our”) contains forward-looking statements. Statements included in this Annual Report on Form 10-K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including growth of our various markets, statements about potential new products and product innovation, statements regarding the expected benefits of the acquisition of SciTec, Inc. (“SciTec”), and other statements regarding our future expectations, beliefs, plans, strategies, objectives, prospects, assumptions, or future events or performance contained in this Annual Report on Form 10-K are forward-looking statements. Some of the factors that could cause actual results to differ materially from those expressed or implied by the forward-looking statements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manage our growth effectively and our ability to achieve and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delayed or failed launches, and any failure of our launch vehicles and spacecraft to operate as intended;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manufacture our launch vehicles, landers, or orbital vehicles at a quantity and quality that our customers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hazards and operational risks that our products and service offerings are exposed to, including the wide and unique range of risks due to the unpredictability of space;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for commercial launch services for small- and medium-sized payloads not achieving the growth potential we expect;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impacts from future disruptions in U.S. government operations, including as a result of delays or reduction in appropriations or regulatory approvals from our programs, or changes in U.S. government funding and budgetary priorities and spending levels;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dependence on contracts entered into in the ordinary course of business and our dependence on major customers and vendors;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in developing new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 global macro-economic and political conditions, including the implementation of tariffs;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of our information technology systems, physical or electronic security protections;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operate Alpha at our anticipated launch rate (including due to potential regulatory delays) or finalize the development and delivery of Eclipse;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scarcity or unavailability of critical components or raw materials used to manufacture our products or used in our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fluctuation of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publicity stemming from any incident involving us, our competitors, or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to adequately protect our proprietary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shortfalls in available external research &amp; development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comply with our contractual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establish and maintain important relationships with government agencies and prime contractors;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relating to the laws, security requirements, regulations and policies applicable to government contracting;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realize our backlog;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dependence on our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evolving government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benefits and synergies in connection with the SciTec acquisition;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implement and maintain effective internal control over financial reporting in the future;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generate sufficient cash to service all of our indebtedness.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hereof. We undertake no obligation to update any forward-looking statements after the date of this Annual Report on Form 10-K or to conform such statements to actual results or revised expectations, except as required by law. We may not actually achieve the plans, intentions or expectations disclosed in our forward-looking statements, and you should not rely on our forward-looking statements in making your investment decision. Actual results or events could differ materially from the plans, intentions, and expectations disclosed in the forward-looking statements we make. Forward-looking statements do not reflect the potential impact of any future acquisitions, mergers, dispositions, joint ventures, or investments unless otherwise expressly indicated.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terms the “Company,” “Firefly,” “we,” “our,” “us” and similar terms used herein refer collectively to Firefly Aerospace Inc., a Delaware corporation, and its consolidated subsidiaries, unless otherwise stated.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00" w:after="200"/>
        <w:jc w:val="both"/>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Firefly is a market-leading space and defense technology company with an established track record of success providing comprehensive mission solutions to national security, government, and commercial customers. Our mission is to enable responsive, regular, and reliable launch, transit, and operations in space for our customers across the globe. Backed by our world-class team and proven technology, we have designed, developed, and deployed our class-leading launch vehicles and dynamic spacecraft solutions to support critical customer missions across the space domain. As a leader of responsive mission solutions and the only commercial company to achieve a fully successful Moon landing, we are a partner of choice for national security, government, and commercial customers for their critical space missions. As a U.S.-based company, our purpose-built family of products aligns with the ongoing paradigm shift in government missions and procurement processes, where speed, dependability, efficiency, and economics drive customer decision-making. On August 8, 2025, we completed an initial public offering (“IPO”) of shares of our common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differentiated and scalable platforms of Launch and Spacecraft Solutions with flight heritage. Within Launch, we have two offerings built on common technologies: Alpha and Eclipse. Our operational launch vehicle, Alpha, is the first and only U.S.-based orbital rocket in the 1,000 kilograms class to successfully reach orbit, with five launches completed successfully. Alpha's successful launches include responsive space missions, which are a significant differentiator for Firefly and a critical national defense solution that Firefly intends to expand to hypersonic test capabilities. Our second offering, Eclipse, a reusable and scaled up version of Alpha, is in final development in partnership with Northrop Grumman and is expected to deliver 16,000-kilogram payloads to Low Earth Orbit (“LEO”) and can access Medium Earth Orbit (“MEO”), Geostationary Orbit (“GEO”), Highly Elliptical Orbit (HEO) and Trans-lunar Injection (TLI).</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Spacecraft Solutions platforms consist of our Blue Ghost and Elytra vehicles, and software and sensor solutions offerings added through our recent acquisition of SciTec. Blue Ghost and Elytra are highly maneuverable spacecraft enabled by high performance rocket engine technology. Our Blue Ghost lander is the only commercial vehicle to ever achieve a fully successful Moon landing and the first U.S.-based lander to successfully complete a lunar surface mission since NASA's Apollo 17 in 1972. We have a flight-proven spacecraft that has operated in LEO, MEO, GEO, and Cislunar orbits. Elytra is our high-thrust spacecraft platform creating new categories for space domain awareness and warfighting, long-range communications relays, lunar imaging, on-orbit edge processing, and advanced space exploration. Elytra is capable of a wide-range of spacecraft missions across multiple orbits, including satellite delivery, on-orbit transfers, hosted payloads, communications relay, and more-which positions us to help establish a dominant U.S. and allied national security position in space. Elytra will support near-term Blue Ghost missions, highlighting both space-readiness and scalability of the underlying technology. Elytra will also support a responsive on-orbit mission for the U.S. Department of War's (the “DoW”) Defense Innovation Unit (“DIU”) and perform multiple rendezvous proximity operations and space domain awareness operations on demand. We have enhanced these offerings—by providing a host of advanced solutions, including missile warning and defense, on-orbit processing, and space domain awareness through our acquisition of SciTec. These foundational capabilities and underlying technologies form the basis of our responsive, dedicated, and scalable solutions that are evolving alongside the rapidly shifting defense technology and space landscape.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SciTec is an established provider of critical national security software and big data processing capabilities. The acquisition of SciTec bolsters Spacecraft Solutions hardware with AI-enabled defense software proven in operations for missile defense warning and defense, intelligence, surveillance and reconnaissance, space domain awareness, remote sensing and analysis, and autonomous command and control. SciTec's big data processing for national security and commercial customers includes cloud-based, on-premise, and edge processing of high-volume data at rate from satellites across all orbits to assist in rapid decision making for warfighters, support defense applications, and unlocks new service categories for commercial and government deep space missions. More broadly, SciTec's support of national security programs advances U.S. and allied defense capabilities, including Golden Dome, with a full suite of hardware and software for space-based interceptor missions, hypersonic test mission, and space domain awareness missions.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operate in a highly attractive and growing industry. According to McKinsey’s report from 2024, the global space economy is projected to reach $1.8 trillion in value by 2035 driven by accelerating national security and commercial demand. In recent years, record demand for satellites caused a supply shortage of orbital launch vehicles. In 2024, nearly 2,800 satellites launched to orbit, representing more than a 500% increase in demand for launch services compared to just five years prior, according to a 2025 report by BryceTech. The scarcity of launch capacity and increasing government and commercial demand has led these customers to seek out defense technology companies with cost-efficient and proven production systems for increasing capacity.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the 21st century, space evolved from frontier exploration into a critical domain for global infrastructure and contested dominance. From 2024 - 2029, the DoW’s average proposed space budget has increased 82% from 2018 - 2023 averages. Governments from militarily competitive and adversarial countries continue to make significant investments in space and develop their capabilities,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which we believe makes our unique mission solutions a crucial resource for the United States’ national defense strategy. Space is the critical backbone of national security communications, intelligence gathering, and support for terrestrial military operations. As one of the only U.S.-based commercial companies currently equipped to provide reliable access to launch, transit, and operations in space, we are leading the way in end-to-end services for the rapidly expanding defense, space exploration, and commercial space markets.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products are designed to address our customers’ space and defense technology needs. Within Launch, we provide satellite customers with reliable, regular, and rapid access to space. Including its inaugural launch in 2021, Alpha has conducted seven launches and has more than 30 planned launches under contract as of December 31, 2025. The successful Alpha Flight 2 mission made us the first U.S. company to achieve orbit on the second attempt. Our leading launch offerings are tailored to support the demands of our customers in the national security space. The VICTUS NOX mission using Alpha set a new responsive launch record for the U.S. Space Force (the “USSF”), with a turnaround time from notification to launch in approximately 24 hours, shattering the previous industry record of 21 days. The mission established a responsive launch defense capability that previously did not exist, which provides critical warfighting advantages to the United States. As a result of the success of VICTUS NOX, we have won additional responsive launch contracts for Alpha, including the VICTUS SOL and VICTUS HAZE missions.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Alpha is an attractive platform for providing hypersonic flight test capabilities to the DoW and other federal agencies, and is contracted to be utilized for MACH-TB, the DoW’s Multi-Service Advanced Capability Hypersonics Test Bed, enabling rapid innovation, integration, and deployment of the hypersonic capabilities our national defense demands. Our Alpha platform allows us to provide cost effective hypersonic test capabilities, making us a partner of choice for defense companies looking to advance in the arena of hypersonics.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Eclipse rocket is a next-generation vehicle designed to fill a gap in the current launch market. Building on the scalable technological foundation of our Alpha launch vehicle, we are developing Eclipse in partnership with Northrop Grumman to be reusable and deliver upwards of 16 times the mass to orbit compared to Alpha. Eclipse leverages key technologies and expertise from Alpha, including a carbon composite structure and patented tap-off cycle engine technology. In February 2024, we used an automated fiber placement machine to build the first carbon composite barrel for Eclipse development testing. Additionally, Alpha laid the foundation for our production systems and test stands that are being used for rapid production of Eclipse. For example, the first stage propellant tank for Eclipse was placed on a test stand and became eligible for development testing starting in August 2024. Shortly thereafter, in October 2024, Eclipse completed a successful Miranda engine test campaign at 100% power. In March 2025, the Eclipse Stage 1 first flight build of the liquid oxygen and RP-1 tank components were assembled. Assembly continues for this first flight tank assembly build. Build completion is anticipated in 2026. Testing of the flight tank assembly will then be performed on the Eclipse Structural Test Stand. The test stand performs structural loading simulating dynamics forces encountered during flight. These design features and foundation enable enhanced performance, flexible launch schedules, and competitive pricing.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 complement our Launch platform, we offer customizable Spacecraft platforms that are versatile and launch-vehicle agnostic: our proven Blue Ghost lander and our multi mission orbital spacecraft line, Elytra, which is being built using the Blue Ghost technological framework. This pair of spacecraft product lines leverages common technologies including flight software, thrusters, batteries, avionics, and composite structures. Our spacecraft are flexible and can be launched individually or together to enable lander and on-orbit missions.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March 2, 2025, we became the first private company to successfully land and operate on the Moon with Blue Ghost Mission 1. The achievement marked the first fully successful U.S. lunar surface landing since the Apollo era over 50 years ago. Historically, only five countries-the United States, China, Russia, Japan, and India-have achieved the feat of a lunar soft-landing, putting Firefly’s capability in the realm of global superpowers. Blue Ghost Mission 1 carried 10 NASA payloads to the Moon for a total contract value of $102.1 million and completed all NASA missions for 14 days on the surface and five hours into the lunar night, while successfully meeting mission expectations. The success of our Blue Ghost lander delivered 120 GB of valuable data and positions us to push forward rapidly with additional lunar missions, as well as future interplanetary expeditions.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Blue Ghost Mission 1, we also proved our common Elytra spacecraft technology by operating through LEO, MEO, GEO, and Cislunar space prior to landing. Elytra will directly support Blue Ghost Mission 2 in 2026, providing data relay services from lunar orbit. Elytra is also contracted to conduct an on-orbit mission that supports the National Reconnaissance Office (“NRO”) and is onboarded to perform technology missions to support the Proliferated Warfighter Space Architecture of Tracking and Transport layer constellations for the SDA. Elytra has also been placed on contract for a space maneuver vehicle to support the DoW’s DIU with high delta-v to perform hundreds of rendezvous proximity operations maneuvers to perform space domain awareness to deter rival space threats.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Firefly’s state-of-the-art facilities support our Launch and Spacecraft Solutions offerings. Our research and development (“R&amp;D”), iterative testing, and scalable manufacturing processes are vertically integrated and streamlined. Our corporate headquarters, the Rocket Ranch, and the Hive are all located just north of Austin, Texas. The Rocket Ranch, our 200-acre manufacturing and testing facility, is located within 25 miles of our Austin facilities. The Rocket Ranch has approximately 200,000 square feet of production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capacity, six test stands, and advanced manufacturing equipment that leverages automation through robotics. The Hive houses our spacecraft, software, and avionics teams, in addition to multiple ISO-8 cleanrooms and a mission control center that supports launch, land, and orbit missions. We perform assembly and testing activities in-house, which are co-located with design and manufacturing teams, enabling rapid and high-quality development cycles and efficient use of working capital. With our acquisition of SciTec in October of 2025, we have added data centers, modeling and simulation labs, mission operations centers, and classified infrastructure with six locations strategically positioned near key space and defense customers.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full suite of manufacturing capabilities is supplemented by four launch sites, which will continue to enhance flexibility and responsiveness for our missions. We arrange ongoing launch operations from the Vandenberg Space Force Base launch site in California. Additional launch sites are under construction at Virginia’s Mid-Atlantic Regional Spaceport on Wallops Island and the Esrange Space Center in Sweden, and we plan to unlock future launch pad capacity from expected expansion at the Cape Canaveral Space Force Station in Florida. Our significant scale and unique blueprint have been strategically planned to support our increasing launch cadence as we grow.</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Firefly's Key Highlights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began operations in 2017 and successfully reached orbit with Alpha in October 2022 after extensive research, development, and testing. This achievement made us the first and only U.S. commercial company with a rocket ready to fulfill critical space missions in the 1,000 kilograms payload class.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Alpha set a new responsive launch record with the VICTUS NOX mission in September 2023, when we flew a rocket for The USSF with a turnaround time from notification to launch in approximately 24 hours, shattering the previous industry record of 21 days. The mission established a responsive launch defense capability that provides new critical warfighting advantages to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Blue Ghost Mission 1 landed on the Moon on March 2, 2025, marking the first fully successful lunar landing by a commercial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began development of our new, reusable launch vehicle called Eclipse, in a first-of-its-kind partnership with Northrop Grumman. Announced in August 2022, our teams joined to create an American-built rocket to replace a critical gap in the U.S. market, while also delivering a new long-term capability for serving national security, government, and commercial launch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team developed four engines in rapid succession, with investments in cutting-edge advanced technology such as our patented tap-off cycle that unlocks critical weight and component savings for our launch vehicles. Firefly designed, built, tested, and flew a suite of in-house developed propulsion systems—including the Reaver, Lightning, and Spectre engines. Additionally, our new Miranda engine reached 100 test fires in late 2025, demonstrating a two year development cycle from clean sheet design to beginning build of first flight hardware.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2025, we closed the acquisition of SciTec, a leader in advanced national security technologies. SciTec bolsters Firefly’s hardware with AI-enabled defense software proven in operations for missile warning, tracking and defense, intelligence, surveillance and reconnaissance, space domain awareness, and autonomous command and control. The acquisition also advances Firefly’s defense capabilities for critical national security programs, including Golden Dome, with a full suite of hardware and software for space-based interceptor, hypersonic test, and space domain awareness missions, and adds 470 employees with multi-phenomenology systems proficiency and software development expertise.</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Our Mission Solutions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provide full cycle, dedicated, and responsive Launch and Spacecraft Solutions offerings, and continue to redefine space access by delivering complementary platforms for mission success. Our common technologies, components, and know-how are woven across our products and services.</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Launch: </w:t>
      </w:r>
      <w:r>
        <w:rPr>
          <w:rFonts w:ascii="Times New Roman" w:hAnsi="Times New Roman"/>
          <w:color w:val="000000"/>
          <w:sz w:val="20"/>
        </w:rPr>
        <w:t xml:space="preserve">Firefly’s launch vehicles provide dedicated and responsive launch for national security, government, and commercial customers. We are the only U.S. company with a liquid-powered orbital launch vehicle in the 1,000 kilograms payload class. Our Alpha launch vehicle employs a distinct combination of technologies designed to ensure high performance and efficiency at low cost. It uses a unique lightweight, rigid, and thermally-insulated carbon composite technology for both the primary rocket structure as well as the propellant tanks, which ensures that more of the usable mass is reserved for the mission payload. Alpha is also powered by our patented tap-off cycle engine technology which is more efficient than legacy systems and provides greater reliability by employing fewer parts than traditional rocket engines. We have utilized this proprietary technology to develop all of our rocket engines in-house. Alpha has five engines: four first stage Reaver engines, and one second stage Lightning engine. In addition to its track record of successful, dedicated, and responsive launches, Alpha is also designed to support testing of hypersonic payloads, providing significant growth opportunities for hypersonic deterrents, reconnaissance, and future national security needs. We are also expanding our pad operations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from Vandenberg Space Force Base to add sites at Virginia’s Mid-Atlantic Regional Spaceport on Wallops Island and the Esrange Space Center in Sweden to support more missions, customers, and additional launch cadence opportunities. The launch pad we're building in Sweden is our first expansion outside the U.S. and an initial step in our international market strategy. Sweden represents a proving ground for expansion of Alpha production and operations to U.S. allied nations – such as the United Kingdom, Japan, South Korea, Australia, and additional opportunities in Europe and the Middle East – as we look to serve global market demand for a sovereign-led franchise business model.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Alpha has conducted seven launches and has more than 30 planned launches under contract as of December 31, 2025. On April 29, 2025 an anomaly occurred during an Alpha mission that launched from Vandenberg Space Force Base in California. As a result, the Federal Aviation Administration (“FAA”) required us to conduct a mishap investigation before we could conduct further launches. As announced on August 26, 2025, we have since received clearance from the FAA to resume Alpha rocket launches. See “Risk Factors — Risks Related to Our Business — We have in the past, and may in the future experience delayed launches, launch failures, failure of our launch vehicles, landers, or orbital vehicles to reach their planned orbital locations, significant increases in the costs related to launches of launch vehicles, landers, or orbital vehicles, and insufficient capacity available from third-party providers of launch services with whom we partner. Any such issue could result in the loss of our launch vehicles, landers, or orbital vehicles or cause significant delays in their deployment, which could harm our business, financial condition, and results of operations” and “Risk Factors — Risks Related to Our Business — Any inability to operate Alpha at our anticipated launch rate could adversely impact our business, financial condition, and results of operations.”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Eclipse is powered by eight Firefly-developed engines: seven first-stage Miranda engines and one second-stage Vira engine. These common technologies are facilitating the fast, cost-efficient, and reliable development of Eclipse. Eclipse is being built to serve national security, commercial, and international launch markets at competitive pricing. Eclipse's Stage 1 is designed to be reusable, lowering production costs and improving cycle times for this launch platform. We are planning to construct a refurbishment facility that will facilitate this reusability. The first launch of Eclipse is expected to take place from Virginia's Mid-Atlantic Regional Spaceport on Wallops Island, and Eclipse is designed to be compatible with additional launch ranges on the east and west coasts of the United States.</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Spacecraft Solutions: </w:t>
      </w:r>
      <w:r>
        <w:rPr>
          <w:rFonts w:ascii="Times New Roman" w:hAnsi="Times New Roman"/>
          <w:color w:val="000000"/>
          <w:sz w:val="20"/>
        </w:rPr>
        <w:t xml:space="preserve">Firefly is the only company to achieve a fully successful Moon landing, completing all 17 objectives set out before launch. After completing our Blue Ghost Mission 1, we have a total of three additional missions under our NASA Commercial Lunar Payload Services (“CLPS”) task orders. With those task orders, we expect our Blue Ghost lander to fly annual missions to the Moon, with payload services customized to the technology and exploration goals of our customers. Offering ride-share opportunities and dedicated missions, Blue Ghost is built to host and deliver payloads nearly anywhere on the lunar surface. Blue Ghost Mission 2 is expected to land on the far side of the Moon and conduct at least 10 days of lunar surface operations with the Blue Ghost lander. An Elytra spacecraft will support Blue Ghost Mission 2 as a communications relay, and is expected to remain operational in lunar orbit for up to five years. Blue Ghost Mission 2 is fully manifested with both NASA and commercial payloads, including a commercial rover and a ride-sharing international satellite. Blue Ghost Mission 3 is already under contract with NASA and we have selected Blue Origin as a partner to develop a rover to be delivered to the lunar surface. Blue Ghost Mission 4 was awarded in July 2025 by NASA and will land at the Moon’s south pole region. Additionally, we have been selected by a proprietary commercial customer for a future dedicated Blue Ghost mission.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Elytra is a dynamic spacecraft that is highly maneuverable and extensible to perform hundreds of rendezvous proximity operations in support of space domain awareness and warfighting missions, long-range communications relay missions, on-orbit edge-processing missions, and advanced space exploration missions. A constellation of 44 Elytra is expected to power a future long-haul communications relay for multiple customers. Blue Ghost and Elytra are highly complementary and compatible technologies that share a common core. Most of Elytra’s core hardware and software were proven at a variety of orbits through the successful Blue Ghost Mission 1. As part of our end-to-end space services, Elytra offers robust on-orbit solutions and responsive defense capabilities when and where customers need them. Elytra is currently contracted to perform a responsive on-orbit mission in support of the DoW’s DIU. During this mission, Elytra will serve as a space maneuver vehicle to perform a series of on-orbit tasks including space domain awareness operations in LEO.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SciTec is an established provider of critical national security software and big data processing capabilities. The acquisition of SciTec bolsters Spacecraft Solutions hardware with AI-enabled defense software proven in operations for missile warning and defense, intelligence, surveillance and reconnaissance, space domain awareness, remote sensing and analysis, and autonomous command and control. SciTec's big data processing for national security and commercial customers includes cloud-based, on-premise, and edge processing of high-volume data at rate from satellites across all orbits to enable rapid decision making for warfighters, supports defense applications and unlocks new service categories for commercial and government deep space missions. Together, Firefly and SciTec are equipped to advance U.S. and allied defense capabilities and national security programs, including Golden Dome, with a full suite of hardware and software for space-based interceptor missions, hypersonic test missions, and space domain awareness missions.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b/>
          <w:color w:val="000000"/>
          <w:sz w:val="20"/>
        </w:rPr>
        <w:t>Our Industry and Addressable Markets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Firefly’s business operates in the critical launch and spacecraft sectors with a focus on national security within the large and expanding space economy. The space economy includes launch, spacecraft, satellite constellations, and on-orbit and in-space services.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According to McKinsey’s report from 2024, the global space economy is projected to reach $1.8 trillion in value by 2035 driven by accelerating national security and commercial demand. National security and advancements in space-based technologies are core focuses of the U.S. government on a bi-partisan basis and closely align with the key messages from the current administration regarding space. Given the critical role of space across the defense, national security, and commercial sectors, customers seek out trusted providers with proven, flexible, and responsive capabilities to deliver critical missions. As one of the only U.S.-based commercial companies currently equipped to provide reliable access to launch, transit, and operations in space, we are poised to grow in this attractive market. </w:t>
      </w:r>
    </w:p>
    <w:p>
      <w:pPr>
        <w:pStyle w:val="TextBody"/>
        <w:bidi w:val="0"/>
        <w:spacing w:before="0" w:after="200"/>
        <w:jc w:val="both"/>
        <w:rPr>
          <w:rFonts w:ascii="Times New Roman" w:hAnsi="Times New Roman"/>
          <w:sz w:val="20"/>
        </w:rPr>
      </w:pPr>
      <w:r>
        <w:rPr>
          <w:rFonts w:ascii="Times New Roman" w:hAnsi="Times New Roman"/>
          <w:b/>
          <w:color w:val="000000"/>
          <w:sz w:val="20"/>
        </w:rPr>
        <w:t>Small and Medium Launch Market:</w:t>
      </w:r>
      <w:r>
        <w:rPr>
          <w:rFonts w:ascii="Times New Roman" w:hAnsi="Times New Roman"/>
          <w:color w:val="000000"/>
          <w:sz w:val="20"/>
        </w:rPr>
        <w:t xml:space="preserve"> Alpha is the only provider of small size launch that has achieved orbit and addresses a critical gap in the market in the 1,000 kilograms category. Eclipse, with its greater payload capacity and customizable five meter payload fairing, will serve commercial customers and is also expected to launch large dedicated national security satellites or constellations of smaller national security satellites for the National Security Space Launch program.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Additionally, in the past decade the global market right-sized toward satellites between 200 kilograms to 1,200 kilograms, according to analysis by BryceTech in 2025. While Starlink represents a significant number of these satellites, 64% of the satellites launched since 2015 fit within this range. The global satellite market is projected to grow to over $600 billion in 2032, at an 8% compound annual growth rate from 2023, according to Allied Market Research. Small launch vehicles such as Alpha offer dedicated launches, flexibility, and cost-effectiveness in delivering the majority of these payloads to specific orbits. These dynamics are favorable for Alpha as the only U.S. launch vehicle in its class. In comparison, heavy lift launch vehicles do not provide dedicated access to specific orbits, and micro launch players lack the capacity to carry multiple payloads, leading to unfavorable unit economics.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There is scarcity in the market for providers with proven launch platforms and differentiated capabilities, and customers place a premium value on dedicated, reliable, and rapid response. With the successful development of Eclipse, we will be able to operate in the medium launch space, which is similarly underserved and benefits from ongoing sector tailwinds related to the demand for launch from national security and commercial customers. With growing national security and governmental requirements, defense spend, increasing demand for commercial launch, and the introduction of new space applications, our total addressable launch market is expected to grow to $32 billion by 2035 according to the World Economic Forum and McKinsey.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particular, we believe the expansion of adversarial budgets to fund the development of space warfighting and intelligence, surveillance, reconnaissance satellites, and hypersonic vehicles will create additional demand from governmental national security customers for our solutions. According to the World Economic Forum and McKinsey, total state-sponsored defense spending is projected to grow from $66 billion in 2023 to $180 billion in 2035, and key adversaries are a major part of that. In 2025, China announced that it will increase its defense budget by 7.2% year over year, with a significant focus on space spending. This momentum in adversarial spending poses a direct threat to the U.S. and has further fueled the demand for launch. Our launch vehicles are well-positioned to deploy hypersonic payloads, driven by their ability to accelerate these payloads to high velocities. Our rapid response and hypersonics enablement capabilities position us to be a partner of choice as space-based defense becomes a more contested domain in the coming years. </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Spacecraft Market: </w:t>
      </w:r>
      <w:r>
        <w:rPr>
          <w:rFonts w:ascii="Times New Roman" w:hAnsi="Times New Roman"/>
          <w:color w:val="000000"/>
          <w:sz w:val="20"/>
        </w:rPr>
        <w:t>Our Spacecraft Solutions vehicles, Blue Ghost and Elytra, address the $7 billion spacecraft market as of 2024 according to Research and Markets. We are one of the few providers of lunar lander services with multiple planned launches under contracts and a multi-capability offering</w:t>
      </w:r>
      <w:r>
        <w:rPr>
          <w:rFonts w:ascii="Times New Roman" w:hAnsi="Times New Roman"/>
          <w:b/>
          <w:color w:val="000000"/>
          <w:sz w:val="20"/>
        </w:rPr>
        <w:t>.</w:t>
      </w:r>
      <w:r>
        <w:rPr>
          <w:rFonts w:ascii="Times New Roman" w:hAnsi="Times New Roman"/>
          <w:color w:val="000000"/>
          <w:sz w:val="20"/>
        </w:rPr>
        <w:t xml:space="preserve"> Our successful Blue Ghost Mission 1 in 2025 proves our capability to execute on challenging milestones: enter lunar orbit, measure radiation levels and the magnetic field in transit, land on the Moon, study the surface, and collect the most amount of data ever on the environment. We expect our significant competitive advantage will grow as we continue to execute on our upcoming Blue Ghost missions, with contracts already underway as part of NASA’s $2.6 billion CLPS program.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solutions also address critical space needs in applications, including in-space operations, data communications, and threat security capabilities. Our expanding complementary products and services in the defense and space market enable us to capture additional verticals within this ecosystem going forward, which is expected to reach $9 billion in value by 2030 according to Research and Markets. The USSF has been exploring dynamic space operations, which involves allowing satellites to move freely in and out of orbit. Given the ongoing global race to win in “satellite dogfighting,” The USSF is increasingly focused on ensuring space superiority by defending satellites with on-orbit solutions. As near peer threats rise in space and the U.S. government examines proactive orbital deterrence systems, we expect our Elytra spacecraft solution will become an essential part of the U.S. and allied nations’ security posture.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Spacecraft Solutions offerings also include software, sensing, and data processing solutions used in mission-critical applications. We develop and integrate software systems that support the collection, processing, fusion, and analysis of data generated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by advanced sensing technologies. These capabilities are applied in environments that require high levels of performance, reliability, and security, where data must be transformed into decision-relevant information under operational national security-led constraints.</w:t>
      </w:r>
    </w:p>
    <w:p>
      <w:pPr>
        <w:pStyle w:val="TextBody"/>
        <w:bidi w:val="0"/>
        <w:jc w:val="both"/>
        <w:rPr>
          <w:rFonts w:ascii="Times New Roman" w:hAnsi="Times New Roman"/>
          <w:color w:val="000000"/>
          <w:sz w:val="20"/>
        </w:rPr>
      </w:pPr>
      <w:r>
        <w:rPr>
          <w:rFonts w:ascii="Times New Roman" w:hAnsi="Times New Roman"/>
          <w:color w:val="000000"/>
          <w:sz w:val="20"/>
        </w:rPr>
        <w:t>The markets served are characterized by increasing reliance on software-centric architectures, expanded deployment of sensing systems, and growing volumes of data requiring processing and analytics. Customers in these markets procure integrated solutions that combine software development, sensor integration, and data processing across system development, deployment, and sustainment phases.</w:t>
      </w:r>
    </w:p>
    <w:p>
      <w:pPr>
        <w:pStyle w:val="TextBody"/>
        <w:bidi w:val="0"/>
        <w:spacing w:before="200" w:after="200"/>
        <w:jc w:val="both"/>
        <w:rPr>
          <w:rFonts w:ascii="Times New Roman" w:hAnsi="Times New Roman"/>
          <w:sz w:val="20"/>
        </w:rPr>
      </w:pPr>
      <w:r>
        <w:rPr>
          <w:rFonts w:ascii="Times New Roman" w:hAnsi="Times New Roman"/>
          <w:b/>
          <w:color w:val="000000"/>
          <w:sz w:val="20"/>
        </w:rPr>
        <w:t>Competitive Strengths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i/>
          <w:color w:val="000000"/>
          <w:sz w:val="20"/>
        </w:rPr>
        <w:t>Pioneering a Flywheel of Space and Defense Technology Mission Solutions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family of products and mission solutions provide us with the ability to serve the entire space domain and fuel our complementary technologies and comprehensive missions for national security, government, and commercial customers. Our heritage and proven technology are resetting the standard for success in launch, lander, and space markets. Our Alpha launch vehicle is the only orbit-ready U.S. rocket in the 1,000 kilograms payload vehicle class. We are a leader in tactically responsive space missions, having completed a record-breaking launch with an approximately 24-hour turnaround for VICTUS NOX. This mission showcased our ability to deliver payloads to orbit on short notice, which is a critical capability for national security operations. The success of this mission has resulted in multiple subsequent contract awards. We are a partner of choice for our customers’ most complex missions and assignments, with rapid response capabilities to address critical threats. With these proven launch capabilities and innovative technologies, we are a crucial partner for large national defense primes who need access to space.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addition to our launch vehicles, we offer launch platform agnostic spacecraft solutions to address customers’ various in-space mission requirements. As the only company to have successfully landed and completed NASA missions on the Moon, we set the standard for landers. Our first Blue Ghost mission was launched in January 2025 and successfully completed a 60-day operation, making it the longest commercial lunar surface mission to date. Our multi-mission orbital vehicle, Elytra, is poised to serve numerous strategic and defense-related functions within orbit, including carrying payloads into and out of orbit, performing long-haul communications missions, fostering space domain awareness, and other responsive space capabilities. SciTec's standalone AI-enabled software, sensor, and data processing solutions for missile tracking, big data processing, and other applications have the potential to be incorporated into our Blue Ghost and Elytra vehicles for defense customers to further enhance our offerings through a vertically integrated design, manufacturing, and operational stack.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Firefly’s Launch and Spacecraft Solutions offerings differentiate the company by providing a one-stop shop solution for customers. Our services work agnostically with partners and are additive to our own systems as well. For example, we can deliver payloads to the Moon using our Blue Ghost in tandem with another organization’s launch vehicle or pair our platforms together, such as a mission launched on our Alpha rocket that uses an Elytra spacecraft. Therefore, we are able to benefit from demand for our family of products, which we expect to continue to grow as our finalized intercoastal launch pads facilitate increased launch cadence. This flywheel streamlines our development, reduces costs, and expands our total addressable market, all while differentiating Firefly from competitors. </w:t>
      </w:r>
    </w:p>
    <w:p>
      <w:pPr>
        <w:pStyle w:val="TextBody"/>
        <w:bidi w:val="0"/>
        <w:spacing w:before="0" w:after="200"/>
        <w:jc w:val="both"/>
        <w:rPr>
          <w:rFonts w:ascii="Times New Roman" w:hAnsi="Times New Roman"/>
          <w:sz w:val="20"/>
        </w:rPr>
      </w:pPr>
      <w:r>
        <w:rPr>
          <w:rFonts w:ascii="Times New Roman" w:hAnsi="Times New Roman"/>
          <w:i/>
          <w:color w:val="000000"/>
          <w:sz w:val="20"/>
        </w:rPr>
        <w:t>Innovative Patented Technology and Unmatched Technical Expertise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taken a reliability-first approach to building our launch vehicles, landers, and spacecraft. We successfully built the world’s largest all-composite launch vehicle, our Alpha rocket. Our rockets are built using lightweight and strong carbon fiber, leveraging automated fiber placement technology to ensure unified production methodology across all of our product lines. We produce the only launch vehicles with liner-less carbon fiber liquid oxygen tanks that are manufactured through proprietary bonding operations. This technology allows us to keep liquid oxygen at -300F while saving significant weight versus certain of our competitors’ vehicles.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propulsion systems represent another patented technology, with highly efficient tap-off cycle engines. We are unique in developing and scaling this technology, having built and successfully flown the highest thrust tap-off cycle technology in the world. Additionally, our advanced propulsion and avionics systems are designed and tested in-house to facilitate high performance in tough environments. Our launch vehicles are readily scalable, with the Reaver and Lightning engines in our Alpha vehicle providing the patented technology for the Miranda and Vira engines in Eclipse. In addition to the launch vehicle engines, we have also developed the proprietary Spectre thrusters utilized on both Blue Ghost and Elytra.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SciTec's missile warning software demonstrates industry-leading technical expertise from initial design through deployment utilizing cutting edge image processing, signal detection, and artificial intelligence and machine learning. In 2025, SciTec completed the second operational acceptance of the USSF‘s Future Operationally Resilient Ground Evolution processing program of record, also known as FORGE. This advanced and operational defense program is the “brains” of our nation’s multi-orbit missile warning and tracking architecture. SciTec rapidly processes vast amounts of data from sensors around the world to deliver high quality mission-critical information to our warfighters to defend against missile threats.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2025, we have a team that consists of 1,409 employees, that includes 333 engineers, 244 skilled technicians, 54 scientists who bring deep subject matter expertise and discipline from across the defense sector, of whom 436 employees hold national security clearances. Our mission-focused leadership team has decades of experience across advanced engineering and manufacturing sectors, especially from traditional and new space companies, and former military service. These technologies and our employee talent collectively support our competitive moat, created by a technology portfolio and expertise that are based on years of development, testing and operations.</w:t>
      </w:r>
    </w:p>
    <w:p>
      <w:pPr>
        <w:pStyle w:val="TextBody"/>
        <w:bidi w:val="0"/>
        <w:jc w:val="left"/>
        <w:rPr>
          <w:rFonts w:ascii="Times New Roman" w:hAnsi="Times New Roman"/>
          <w:sz w:val="20"/>
        </w:rPr>
      </w:pPr>
      <w:r>
        <w:rPr>
          <w:rFonts w:ascii="Times New Roman" w:hAnsi="Times New Roman"/>
          <w:i/>
          <w:color w:val="000000"/>
          <w:sz w:val="20"/>
        </w:rPr>
        <w:t>Purpose-Built Infrastructure Creates High Barriers to Entry</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strategically deployed capital to build state-of-the-art infrastructure to design, produce, test, and manufacture our products to the highest standard at a regular cadence. Our three primary facilities—our corporate headquarters, the Hive spacecraft facility, and our Rocket Ranch manufacturing and testing site—are only 25 miles apart, providing unique proximity between design, manufacturing, and production. The proximity of our core facilities enables agile and rapid vehicle development and production at lower cost versus competitors. By maintaining a vertically integrated manufacturing process, we are less reliant on the timelines of outside suppliers and reduce risk within our supply chain.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purpose-built R&amp;D, manufacturing, and testing footprint is the product of significant investments and the backbone of our manufacturing process. We designed our advanced manufacturing process through years of optimization that now allows us to replicate our additional facilities with significantly less capital. Our early investment in cutting-edge technology and best-in-class facilities is a competitive advantage, creating a platform primed for continued growth.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acquisition of SciTec adds data centers, modeling and simulation labs, mission operations centers, and classified infrastructure with six locations strategically positioned near key space and defense customers.</w:t>
      </w:r>
    </w:p>
    <w:p>
      <w:pPr>
        <w:pStyle w:val="TextBody"/>
        <w:bidi w:val="0"/>
        <w:jc w:val="left"/>
        <w:rPr>
          <w:rFonts w:ascii="Times New Roman" w:hAnsi="Times New Roman"/>
          <w:sz w:val="20"/>
        </w:rPr>
      </w:pPr>
      <w:r>
        <w:rPr>
          <w:rFonts w:ascii="Times New Roman" w:hAnsi="Times New Roman"/>
          <w:i/>
          <w:color w:val="000000"/>
          <w:sz w:val="20"/>
        </w:rPr>
        <w:t>Strong Customer Relationships and Market Leading Strategic Partnerships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As the space market continues to grow and evolve, we are well-positioned to serve our customers’ most complex missions with rapid response times and purpose-built solutions. Our collaborations with leading national security agencies and aerospace companies, such as Lockheed Martin Corporation, Northrop Grumman, L3Harris, USSF, Space Development Agency (“SDA”), NRO, and NASA demonstrate the value and criticality of our new space defense and technology leadership in this market.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Lockheed Martin: We have a multi-launch agreement with Lockheed Martin that includes up to 25 missions over the next five years. Under this agreement, we plan to routinely launch a variety of future Lockheed Martin spacecraft, including new payload technologies, into LEO from our launch facilities on the west and east coasts of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Northrop Grumman: We have an exclusive partnership with Northrop Grumman for the development of Eclipse. This platform combines leading flight-proven technologies and mission experience from both companies to fill a void in the underserved medium launch market. Supported by a $50 million equity investment from Northrop Grumman, Eclipse builds on our Alpha rocket technology and Northrop Grumman's Antares rocket, with the first partnership of its kind between the best of legacy and new space.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L3Harris: We have a multi-launch agreement with L3Harris for up to 20 launches on our Alpha rocket, including two to four missions per year from 2027 to 2031 depending on customer needs. The new agreement is in addition to our existing multi-launch agreement with L3Harris for three Alpha missions.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United States Space Force: We provide the USSF with both launch mission capability and missile defense operations. We are the leading tactically responsive launch provider, and the USSF is leveraging our responsive launch capabilities on two upcoming missions, VICTUS HAZE and VICTUS SOL, which follow our successful VICTUS NOX mission, where we launched within an approximately 24-hour window and set a new responsive launch record. We have been selected to provide mission defense solutions as part of the FORGE program, supporting the development of Sensor Specific Processing (SSP) for legacy Space Based Infrared Sensors (SBIRS) to exploit SBIRS data for missile warning, missile defense, battlespace awareness, and technical intelligence. We also support the delivery of critical applications for missile warning missions through the Mission Data Processing Application Provider (MDPAP) program.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Space Development Agency: Firefly has been onboarded as a selected vendor for the SDA's Hybrid Acquisition for Proliferated LEO program. Using our Elytra orbital vehicles, we will support end-to-end demonstration missions for the SDA's military satellite constellation, including launch, on-orbit transit, and tracking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National Reconnaissance Office: We have been selected to serve as a launch provider to the NRO as part of their Streamlined Launch Indefinite Delivery / Indefinite Quantity Contract. Our Alpha rapid response capabilities are essential to the NRO's defensive missions, providing them with a launch vehicle with leading capabilities and proven flight heritage. In addition, Elytra is contracted to support an on-orbit mission for the NRO, in which Elytra will perform a rapid payload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reconfiguration, deploy commercial rideshare payloads, execute an on-orbit maneuver, and stand ready to deploy U.S. government payloads on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NASA: We provide NASA with both spacecraft and launch mission capabilities. We are the only company to successfully land, operate, and complete NASA missions on the Moon. We won the largest active NASA CLPS contract in December 2024 at $179 million. Following the success of Blue Ghost Mission 1 this year, we are a prime contractor on three planned missions to the Moon and four CLPS task orders through contracts with a total potential value of $499.0 million, including additional commercial payloads. NASA also contracts us for launch services, including a Venture-Class Acquisition of Dedicated and Rideshare (VADR) contract for a dedicated Alpha launch. This Alpha Launch will deliver the agency's Investigation of Convective Updrafts (INCUS) mission from NASA's Wallops Flight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Blue Origin: We have selected Blue Origin to develop a rover to accompany our Blue Ghost lander in an upcoming task order from NASA to explore the Gruithuisen Domes on the Moon. The rover will be transported and deployed by an Elytra transfer vehicle and the Blue Ghost lander, and will help study the composition of the domes using instruments provided by NASA. We successfully collaborated with Honeybee on two prior payloads during Blue Ghost Mission 1.</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Jet Propulsion Laboratory: Firefly partners with JPL for test facilities and technologies licenses. Our Blue Ghost lander was tested thoroughly with vibration, acoustic, thermal vacuum, and electromagnetic interference and compatibility to ensure the vehicle would withstand the rigors of a lunar mission.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SpaceX: We also have a strong strategic partnership with SpaceX for payload processing facilities and launch vehicles. Most recently, our Blue Ghost lander was launched on a SpaceX Falcon 9 rocket, ensuring a smooth start to our groundbreaking lunar mission.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Defense Innovation Unit: We signed an agreement with the DIU to conduct a trade study on our capabilities to rapidly launch our Elytra vehicles and support missions beyond Geosynchronous Orbit (“xGEO”). Once completed, we will conduct up to two demonstrations to deliver multiple payloads to xGEO orbits aboard our Elytra Dark spacecraft with the first mission completed within 18 months of receiving the approval to proceed. The contract will support the DIU's mission to develop responsive access to xGEO.</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Additionally, we have built a robust portfolio of contracts composed of blue-chip customers across both government and commercial end markets including NASA, the USSF, the DoW’s SDA, the NRO, Northrop Grumman, Lockheed Martin, L3 Harris Technologies, Inc. and True Anomaly, Inc. Our customizable offerings across Launch and Spacecraft Solutions, and our speed of execution as proven through our existing successes, are well-recognized by our growing list of government and commercial customers. </w:t>
      </w:r>
    </w:p>
    <w:p>
      <w:pPr>
        <w:pStyle w:val="TextBody"/>
        <w:bidi w:val="0"/>
        <w:jc w:val="left"/>
        <w:rPr>
          <w:rFonts w:ascii="Times New Roman" w:hAnsi="Times New Roman"/>
          <w:sz w:val="20"/>
        </w:rPr>
      </w:pPr>
      <w:r>
        <w:rPr>
          <w:rFonts w:ascii="Times New Roman" w:hAnsi="Times New Roman"/>
          <w:i/>
          <w:color w:val="000000"/>
          <w:sz w:val="20"/>
        </w:rPr>
        <w:t>Differentiated National Security and Defense Technology Capabilities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Firefly’s portfolio of contracts with defense primes, national security agencies, and government partners demonstrates a high degree of trust in our company as a key national security partner. Alpha's track record of success and repeated demonstrations of rapid response missions make Firefly a leader in tactically responsive space capabilities. Alpha provides dedicated and precise service to preferred orbits, 1,000 kilograms capability, and the ability to deliver multiple hypersonic payloads in a single launch. Our in-development Eclipse launch vehicle, with its greater payload capacity and reusable first stage design, is built to support national security space launch and commercial missions. Our spacecraft platforms, Blue Ghost and Elytra, support the needs of civil and defense customers by traveling beyond LEO to deliver advanced, multi-objective missions both on-orbit and to other planetary bodies. Blue Ghost has proven our capability to deliver on NASA priorities while harnessing national security benefits related to lunar exploration. Elytra is primed to add to our competitive moat by expanding to on-orbit responsive missions for the DoW. Poised to launch on Alpha and Eclipse, as well as other vehicles, Elytra is intended to provide space maneuver vehicles, long-haul communications relays, lunar imaging, on-orbit edge processing, as well as space exploration capabilities for the entire lifecycle of national security missions. With our acquisition of SciTec, we add decades of experience providing national security-related software applications and big data processing, including FORGE, a USSF program of record.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proven, extensive national security capabilities position the Firefly platform for future growth. Critical civil and national security infrastructure on Earth depends on satellite systems in space, and threats from adversaries have been on the rise. Established space nations are expected to increase spending over the next decade on national security, specifically in intelligence capabilities. The DoW has also enhanced its strategy to meet the growing challenges of the space domain. With our diverse space technology offerings, we are well-positioned to benefit from national security tailwinds in this contested domain.</w:t>
      </w:r>
    </w:p>
    <w:p>
      <w:pPr>
        <w:pStyle w:val="TextBody"/>
        <w:bidi w:val="0"/>
        <w:jc w:val="both"/>
        <w:rPr>
          <w:rFonts w:ascii="Times New Roman" w:hAnsi="Times New Roman"/>
          <w:sz w:val="20"/>
        </w:rPr>
      </w:pPr>
      <w:r>
        <w:rPr>
          <w:rFonts w:ascii="Times New Roman" w:hAnsi="Times New Roman"/>
          <w:i/>
          <w:color w:val="000000"/>
          <w:sz w:val="20"/>
        </w:rPr>
        <w:t>Established Business Model Backed by Robust Backlog</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Our track record of success and our reputation as a trusted provider for our customers results in a highly attractive, diversified business model defined by significant backlog and cash flow visibility. Strong customer demand backs our financial profile with approximately $1.4 billion in backlog as of December 31, 2025 and multi-launch agreements across our product lines. Underpinning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our financial profile is the combination of efficient contract structure and milestone-based billing. Before launch, we have typically collected approximately 90% of the total contract value, which is highly advantageous as production ramps. We are also differentiated in our ability to successfully execute on firm-fixed-price contracts. We are ahead of the curve as the industry shifts in favor of firm-fixed-price contracts and are well-positioned to capitalize on this change. As we scale, we have and expect to continue to replicate our proprietary manufacturing and testing processes, resulting in reduced cycle times and further capital efficiency. Our established business model has set us up to capitalize on the growth of the industry and continue to win with customers based on our proven track record. The acquisition of SciTec has increased our backlog with a mix of firm-fixed-price and cost-plus contract structures.</w:t>
      </w:r>
    </w:p>
    <w:p>
      <w:pPr>
        <w:pStyle w:val="TextBody"/>
        <w:bidi w:val="0"/>
        <w:jc w:val="both"/>
        <w:rPr>
          <w:rFonts w:ascii="Times New Roman" w:hAnsi="Times New Roman"/>
          <w:sz w:val="20"/>
        </w:rPr>
      </w:pPr>
      <w:r>
        <w:rPr>
          <w:rFonts w:ascii="Times New Roman" w:hAnsi="Times New Roman"/>
          <w:b/>
          <w:color w:val="000000"/>
          <w:sz w:val="20"/>
        </w:rPr>
        <w:t>Growth Strategy</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0"/>
        </w:rPr>
        <w:t>Increase Launch Cadence to Meet Growing Market Demand</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We are increasing our launch frequency to meet the growing demand for reliable space access. The launch market is rapidly expanding, with significant demand for launch and space services. This demand is reflected within our robust total backlog of approximately $1.4 billion as of December 31, 2025. We are well-positioned to continue to increase our production rate and launch cadence for our small and medium launch vehicles. Through the USSF’s VICTUS NOX mission, we showcased our ability to deliver critical payloads to orbit on short notice—a crucial asset for national security operations. Our end-to-end mission solutions position us to leverage Alpha’s track record of success and replicate it using the larger Eclipse rocket.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Given our tailored launch capabilities, we have been awarded additional critical defense missions and multi-launch agreements as space increasingly becomes a contested area of focus for national security agencies and commercial customers. To meet this growing demand and accelerate production, we have doubled our production facility size to approximately 200,000 square feet and are expanding our processes to manufacture one Alpha launch vehicle per month. Firefly designed our launch facility infrastructure to be scalable throughout the U.S. and internationally. We currently launch from Vandenberg Space Force Base in California and have launch sites under construction at Virginia's Mid-Atlantic Regional Spaceport on Wallops Island and Esrange Space Center in Sweden. We also plan to unlock future launch pad capacity from the expected expansion at the Cape Canaveral Space Force Station in Florida. We expect to continue to expand our infrastructure in a capital efficient manner to meet anticipated customer demand. </w:t>
      </w:r>
    </w:p>
    <w:p>
      <w:pPr>
        <w:pStyle w:val="TextBody"/>
        <w:bidi w:val="0"/>
        <w:jc w:val="both"/>
        <w:rPr>
          <w:rFonts w:ascii="Times New Roman" w:hAnsi="Times New Roman"/>
          <w:sz w:val="20"/>
        </w:rPr>
      </w:pPr>
      <w:r>
        <w:rPr>
          <w:rFonts w:ascii="Times New Roman" w:hAnsi="Times New Roman"/>
          <w:i/>
          <w:color w:val="000000"/>
          <w:sz w:val="20"/>
        </w:rPr>
        <w:t>Scale Across Mission Solutions to Enable Profitable Growth Driven by Common Technologies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Following our success with Alpha and Blue Ghost, we are focused on increasing the frequency of launch and spacecraft deployment in a cost-efficient manner, as well as delivering critical national security software and applications. On the demand side, our customers value high-quality service, reliable support for decision-making, access to preferred orbits, and dedicated vehicles–a value proposition that we built our rockets, spacecraft, and software around.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strong backlog demonstrates the need to scale our launch platform. In parallel, we have additional contracts backing Blue Ghost missions, with our spacecraft pipeline bolstered by demand from national security missions and commercial space exploration. We are also expanding into the medium payload class with Eclipse and our orbital solutions. Our Elytra spacecraft will enable us to provide constellations of space maneuver vehicles, long-range communications relays, and space exploration orbiters. Alpha, Eclipse, Blue Ghost, and Elytra share common technologies, processes, team expertise, and production lines, enabling capital efficiency as well as first time quality across products. All of our hardware products utilize the carbon composite primary and tank structures and leverage the automated fiber placement machine, power milling tool, and other test capabilities. Our hardware products also share avionics, software, and rocket engine technology to enable economies of scale, responsive delivery schedules, fungible inventory, and flight proven mission assurance. Our software offerings are differentiated through industry-leading multi-phenomenology expertise, including: artificial intelligence and machine learning operations for data exploitation; mature target detection, characterization and custody to support missile warning and threat tracking; intelligence surveillance and reconnaissance; automated data fusion and reporting; cloud-native command and control; autonomous mission management; and remote sensing simulation and analysis.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With each launch vehicle mission, we expect our cost structure and unit economics to meaningfully improve, as our increased launch cadence will result in fixed cost amortization and operating efficiencies. Additional efficiencies are unlocked by our streamlined development and production processes. Eclipse’s development is progressing rapidly given Alpha and Eclipse share significant carryover from our engineering team and substantial component commonality and supply chain compatibility.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a provider of choice, we have selected strategic partnerships that enable synergistic development and expansion. Our exclusive partnership with Northrop Grumman combines our companies’ respective technologies to co-develop Eclipse. We believe our strategic partnerships unlock access to additional infrastructure and new customers as we propel our partners with our new space capabilities to develop and deliver purpose-built technology for customers across the space and defense technology sector.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intentional common technologies approach to our mission solutions has enabled the evolutionary development of Eclipse from Alpha and Elytra from Blue Ghost, allowing for faster and more reliable production while keeping costs low. And SciTec's track-record of success stems from delivering customer services both on cost and schedule. As we increase our launch cadence and scale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solutions, we expect to grow our revenue base and improve and stabilize our cost structure. We thoughtfully invest capital to enable scaled production with favorable unit economics while keeping costs and capital expenditure minimized to yield profitable growth. </w:t>
      </w:r>
    </w:p>
    <w:p>
      <w:pPr>
        <w:pStyle w:val="TextBody"/>
        <w:bidi w:val="0"/>
        <w:jc w:val="both"/>
        <w:rPr>
          <w:rFonts w:ascii="Times New Roman" w:hAnsi="Times New Roman"/>
          <w:sz w:val="20"/>
        </w:rPr>
      </w:pPr>
      <w:r>
        <w:rPr>
          <w:rFonts w:ascii="Times New Roman" w:hAnsi="Times New Roman"/>
          <w:i/>
          <w:color w:val="000000"/>
          <w:sz w:val="20"/>
        </w:rPr>
        <w:t>Deploying Our In-Space Heritage for Advanced Operations and Services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Elytra is designed to support rapid, end-to-end demonstration missions, especially for military satellites. Elytra was selected to support the DoW’s DIU. As part of the mission, Elytra will host a suite of government payloads, including optical visible and infrared cameras, a responsive navigation unit, and a universal electrical bus. Elytra’s configuration will utilize common components, structures, and propulsion systems to enable on-demand mobility, plane changes and maneuvers with high performance capabilities and reliability.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addition to Elytra’s existing revenue-generating contracts, there are numerous customers interested in using Firefly’s platform for space domain awareness and other heavy lift applications. There are a myriad national security applications for Elytra’s in-orbit technology, such as providing long-haul communications, radio frequency calibration services, and deploying government payloads on demand. Furthermore, the global race to solidify abilities in “satellite dogfighting” have made establishing space domain dominance a priority of the USSF, which Elytra is designed to help address. As space becomes a further contested domain, we believe Elytra’s on-orbit services will be a key avenue for our growth. </w:t>
      </w:r>
    </w:p>
    <w:p>
      <w:pPr>
        <w:pStyle w:val="TextBody"/>
        <w:bidi w:val="0"/>
        <w:jc w:val="both"/>
        <w:rPr>
          <w:rFonts w:ascii="Times New Roman" w:hAnsi="Times New Roman"/>
          <w:sz w:val="20"/>
        </w:rPr>
      </w:pPr>
      <w:r>
        <w:rPr>
          <w:rFonts w:ascii="Times New Roman" w:hAnsi="Times New Roman"/>
          <w:i/>
          <w:color w:val="000000"/>
          <w:sz w:val="20"/>
        </w:rPr>
        <w:t>Seek Value-Added Acquisitions Complementary to our Existing Offerings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As we expand our offerings, we may choose to strengthen our internal capabilities and accelerate development through acquisitions. We intend to take a disciplined approach to future acquisitions. Our focus is to continue scaling and increasing launch cadence, and our spacecraft and software capabilities, to achieve profitable growth while serving our customers’ critical missions. In pursuing any complementary acquisitions, we expect to target companies that increase our share of the national security market, promote vertical integration, or automate production processes while maintaining quality and enabling further market expansion. As the space industry matures, we believe that there will be additional opportunities to acquire targets that enhance our capabilities and financial profile, and our goal is to position ourselves as the acquirer of choice for space services and technology companies.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acquired SciTec in October 2025 as a strategic expansion of our defense-focused product and technology portfolio, adding software capabilities to our existing hardware programs. SciTec adds operational defense software applications and big data processing, with state-of-the-art facilities and data servers – classified infrastructure in support of the DoW, the U.S. intelligence community, and commercial customers. SciTec broadened Firefly's ability to compete for Golden Dome program elements, positioning us to bid for the fire control and common ground elements of Golden Dome, in addition to the opportunities we're targeting with our Alpha, Eclipse, and Elytra vehicles. SciTec also added a highly technical workforce, as well as a growing and recurring revenue stream to further diversify our offerings. </w:t>
      </w:r>
    </w:p>
    <w:p>
      <w:pPr>
        <w:pStyle w:val="TextBody"/>
        <w:bidi w:val="0"/>
        <w:jc w:val="both"/>
        <w:rPr>
          <w:rFonts w:ascii="Times New Roman" w:hAnsi="Times New Roman"/>
          <w:b/>
          <w:color w:val="000000"/>
          <w:sz w:val="20"/>
        </w:rPr>
      </w:pPr>
      <w:r>
        <w:rPr>
          <w:rFonts w:ascii="Times New Roman" w:hAnsi="Times New Roman"/>
          <w:b/>
          <w:color w:val="000000"/>
          <w:sz w:val="20"/>
        </w:rPr>
        <w:t>Design and Manufacturing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Our research, design, and manufacturing operations are supported by vertical integration at our U.S.-based facilities. We design and manufacture many of the components and subsystems for our launch vehicles, spacecraft, satellites, and landers. To support this level of vertical integration, we have developed extensive supply chain operations and capabilities across the United States and internationally, which are enabled by sophisticated third-party enterprise resource planning systems and tools. These systems and tools are supported by an in-house team of enterprise information systems personnel.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obtain raw materials, components, subsystems, capital equipment, and other supplies from suppliers that we believe to be reputable and reliable. We have established and follow internal quality control processes to source suppliers, considering engineering validation, quality, cost, delivery, and lead-time factors. We have a quality management team that is responsible for managing and ensuring that supplied components meet quality standards. While we often source raw materials and other inputs and services from multiple sources, in some cases we also purchase various inputs and services from a sole or single source. In these supplier situations, we may attempt to manage sourcing risk by carrying increased buffer stock, particularly on long-lead items, and by seeking opportunities to diversify our supply chain in the future. See “Risk Factors—Risks Related to Our Business—If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integrated manufacturing facilities just north of Austin, Texas. Our current manufacturing capability supports R&amp;D, rapid prototyping, and flight level hardware in an integrated and disciplined manner, applying the correct level of rigor to the appropriate process. We leverage a strong culture of personal accountability to ensure efficiency and world class results across our operations. We are ASC 9100 certified and seek to adhere to the appropriate quality and process controls on a continuous basis. </w:t>
      </w:r>
    </w:p>
    <w:p>
      <w:pPr>
        <w:pStyle w:val="TextBody"/>
        <w:bidi w:val="0"/>
        <w:jc w:val="both"/>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primarily compete with businesses in the following categories: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providing dedicated small and medium launch vehicles to deliver payloads to various preferred orbits;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companies providing spacecraft such as orbital vehicles and related solutions;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providing lander solutions, including our competitors on the NASA CLPS contracts;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providing mission data processing software applications and enterprise transformation of mission ground systems for national security.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principal competitive factors in our market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flight heritage and reliability;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delivery schedule;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customize products to meet specific needs of the customer;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and technical features;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experience.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we compete favorably across these factors.</w:t>
      </w:r>
    </w:p>
    <w:p>
      <w:pPr>
        <w:pStyle w:val="TextBody"/>
        <w:bidi w:val="0"/>
        <w:spacing w:before="200" w:after="283"/>
        <w:jc w:val="both"/>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are the sole owner of five granted U.S. patents (U.S. Patent Nos. 11,391,247, 11,008,977, 11,384,713, 11,692,515, and 11,746,729) relating to our tap-off cycle liquid rocket engines, including patents related to the cooling channels in the combustion chambers and patents related to the hot gas tap-off power source used in these engines. These five patents each expire in 2039. For our registered and active trademarks, the duration of such intellectual property is unlimited provided that such marks continue to be in use. </w:t>
      </w:r>
    </w:p>
    <w:p>
      <w:pPr>
        <w:pStyle w:val="TextBody"/>
        <w:bidi w:val="0"/>
        <w:jc w:val="left"/>
        <w:rPr>
          <w:rFonts w:ascii="Times New Roman" w:hAnsi="Times New Roman"/>
          <w:sz w:val="20"/>
        </w:rPr>
      </w:pPr>
      <w:r>
        <w:rPr>
          <w:rFonts w:ascii="Times New Roman" w:hAnsi="Times New Roman"/>
          <w:b/>
          <w:color w:val="000000"/>
          <w:sz w:val="20"/>
        </w:rPr>
        <w:t>Regulatory</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We are required to comply with a variety of governmental regulations, which could have a significant impact on our business, including our capital expenditures, earnings, and competitive position. We incur or will incur costs to monitor and take actions to comply with governmental regulations that are or will be applicable to our business, including, among others, federal securities laws and regulations, applicable stock exchange requirements, economic sanctions and trade embargo laws, and restrictions and regulations of the U.S. Department of Transportation, the FAA, the Federal Communications Commission (“FCC”), and other government agencies in the United States and the other countries in which we operate. While our international operations are currently limited and we did not recognize revenue outside of the United States during the year ended December 31, 2025, we anticipate further growth internationally by supporting more international customers from launch sites in the United States and expanding our operations to include international launch sites. For example, we are in the process of expanding our pad operations from Vandenberg Space Force Base in California to add Mid-Atlantic Regional Spaceport on Wallops Island, Virginia and Esrange Space Center in Esrange, Sweden to support more missions, customers, and additional launch cadence opportunities, and are taking steps towards expanding our operations to serve additional international markets. As we expand internationally, we will be subject to additional rules and regulations, see “Risk Factors—Risks Related to Our Business—If we continue to expand outside the United States, we will be exposed to a variety of risks associated with international operations that could materially and adversely affect our business.”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Further, our business is subject to, and we must comply with, stringent U.S. import and export control laws, including the International Traffic in Arms Regulations (“ITAR”) and Export Administration Regulations (“EAR”). The ITAR generally restricts the export of hardware, software, technical data and services that have defense or strategic applications. The EAR similarly regulates the export of hardware, software, and technology that has commercial or “dual-use” applications (i.e., for both military and commercial applications) or that have less sensitive military or space-related applications that are not subject to the ITAR. The regulations exist to advance the national security and foreign policy interests of the U.S.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 government’s commitments to multilateral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export control regimes, particularly the Missile Technology Control Regime with respect to the spaceflight business. The ITAR generally restricts the export of hardware, software, technical data, and services that have defense or strategic applications. The EAR similarly regulates the export of hardware, software, and technology that has commercial or “dual-use” applications (for both military and commercial applications) or that have less sensitive military or space-related applications that are not subject to the ITAR. The regulations exist to advance the national security and foreign policy interests of the United States.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See “Risk Factors—Risks Related to Our Business” for a discussion of material risks to us, including, to the extent material, to our competitive position, relating to governmental regulations.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While there are no current regulatory matters that we expect to be material to our business, there can be no assurance that existing or future laws, regulations, and standards applicable to our operations will not lead to a material adverse impact on our business, results of operations, prospects, or financial condition. If new and more stringent government regulations are adopted, if industry oversight increases, or if we become subject to new international government regulations as a result of international expansion, we may incur significant expenses to comply with any new regulations or heightened industry oversight that are not addressed by our existing activities. See “Risk Factors—Risks Related to Our Business—Our business is subject to various regulatory risks that could adversely affect our operations.”</w:t>
      </w:r>
    </w:p>
    <w:p>
      <w:pPr>
        <w:pStyle w:val="TextBody"/>
        <w:bidi w:val="0"/>
        <w:jc w:val="left"/>
        <w:rPr>
          <w:rFonts w:ascii="Times New Roman" w:hAnsi="Times New Roman"/>
          <w:sz w:val="20"/>
        </w:rPr>
      </w:pPr>
      <w:r>
        <w:rPr>
          <w:rFonts w:ascii="Times New Roman" w:hAnsi="Times New Roman"/>
          <w:b/>
          <w:color w:val="000000"/>
          <w:sz w:val="20"/>
        </w:rPr>
        <w:t>Government Contracts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material portion of our revenue is derived from contracts, directly or indirectly, with the U.S. government that are subject to U.S. government contracting rules and regulations and therefore are subject to the business risks specific to the defense industry, including the ability of the U.S. government to unilaterally suspend us from receiving new contracts, terminate existing contracts at its convenience and without significant notice, reduce the value of existing contracts, audit our contract-related costs and fees, including allocated indirect costs, and revoke required security clearances. Violations of government procurement laws could result in civil or criminal penalties. </w:t>
      </w:r>
    </w:p>
    <w:p>
      <w:pPr>
        <w:pStyle w:val="TextBody"/>
        <w:bidi w:val="0"/>
        <w:spacing w:before="200" w:after="283"/>
        <w:jc w:val="both"/>
        <w:rPr>
          <w:rFonts w:ascii="Times New Roman" w:hAnsi="Times New Roman"/>
          <w:sz w:val="20"/>
        </w:rPr>
      </w:pPr>
      <w:r>
        <w:rPr>
          <w:rFonts w:ascii="Times New Roman" w:hAnsi="Times New Roman"/>
          <w:b/>
          <w:color w:val="000000"/>
          <w:sz w:val="20"/>
        </w:rPr>
        <w:t>Environmental, Health, and Safety Matters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operations and facilities are subject to an extensive regulatory framework of federal, state, local, and foreign environmental, health, and safety laws, and regulations and permits that govern, among other things, employee health and safety, discharges of pollutants into the air and water, the generation, handling, storage and disposal of hazardous materials and wastes, and the investigation and remediation of certain materials, substances, and wastes. Non-compliance with such laws, regulations and permits could result in substantial fines, penalties, and obligations. In addition, such laws and regulations may require us to investigate and remediate the effects of the release or disposal of materials at sites associated with past and present operations, and any obligations to remediate and investigate could be joint and several without regard to fault.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See “Risk Factors—Risks Related to Our Business—Environmental matters, including costs associated with compliance and remediation efforts and government and third-party claims, could have a material adverse effect on our reputation and our business, financial condition, and results of operations.” </w:t>
      </w:r>
    </w:p>
    <w:p>
      <w:pPr>
        <w:pStyle w:val="TextBody"/>
        <w:bidi w:val="0"/>
        <w:spacing w:before="200" w:after="283"/>
        <w:jc w:val="left"/>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we had 1,409 full-time employees and nine part-time employees, none of whom are subject to any collective bargaining agreement. We consider our employee relations to be good. Our success depends, in part, on our continuing ability to identify, hire, attract, train, and develop highly qualified personnel. Experienced and highly skilled employees are in high demand. Competition for these employees can be intense, and there may be concerns regarding new employees’ unauthorized disclosure of competitors’ trade secrets. Generally, each employee is required to sign a confidentiality, non-disclosure, and non-use agreement with us.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internet website address is www.fireflyspace.com. The contents of our website are not deemed to be part of this Annual Report on Form 10-K or any other filings with the U.S. Securities and Exchange Commission (“SEC”).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Annual Reports on Form 10-K, Quarterly Reports on Form 10-Q, Current Reports on Form 8-K, and any amendments to those reports are available free of charge on our Investor Relations website at www.investors.fireflyspace.comas soon as reasonably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practicable after such material is electronically filed with, or furnished to, the SEC. These filings are also available at the SEC’s website, www.sec.gov.</w:t>
      </w:r>
    </w:p>
    <w:p>
      <w:pPr>
        <w:pStyle w:val="TextBody"/>
        <w:bidi w:val="0"/>
        <w:spacing w:before="200" w:after="200"/>
        <w:jc w:val="left"/>
        <w:rPr>
          <w:rFonts w:ascii="Times New Roman" w:hAnsi="Times New Roman"/>
          <w:b/>
          <w:color w:val="000000"/>
          <w:sz w:val="20"/>
        </w:rPr>
      </w:pPr>
      <w:bookmarkStart w:id="5" w:name="item_1a_risk_factors_1"/>
      <w:bookmarkEnd w:id="5"/>
      <w:r>
        <w:rPr>
          <w:rFonts w:ascii="Times New Roman" w:hAnsi="Times New Roman"/>
          <w:b/>
          <w:color w:val="000000"/>
          <w:sz w:val="20"/>
        </w:rPr>
        <w:t>Item 1A. Risk Factors.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Our business, financial condition, results of operations, and future growth prospects are subject to numerous risks and uncertainties. You should carefully consider the following risk factors together with the financial and other information contained in this Annual Report on Form 10-K and in our other public disclosures. The risks and uncertainties described below are not the only ones we face. Additional risks and uncertainties that we are unaware of, or that we currently believe are not material, may also become important factors that affect us. If any of the following risks actually occurs, our business, financial condition, results of operations, and future growth prospects could be materially and adversely affected. As a result, our future results could differ materially from historical results and from guidance we may provide regarding our expectations of our future financial performance, and the trading price of our common stock could decline.</w:t>
      </w:r>
    </w:p>
    <w:p>
      <w:pPr>
        <w:pStyle w:val="TextBody"/>
        <w:bidi w:val="0"/>
        <w:spacing w:before="0" w:after="200"/>
        <w:jc w:val="left"/>
        <w:rPr>
          <w:rFonts w:ascii="Times New Roman" w:hAnsi="Times New Roman"/>
          <w:sz w:val="20"/>
        </w:rPr>
      </w:pPr>
      <w:r>
        <w:rPr>
          <w:rFonts w:ascii="Times New Roman" w:hAnsi="Times New Roman"/>
          <w:b/>
          <w:color w:val="000000"/>
          <w:sz w:val="20"/>
        </w:rPr>
        <w:t>Risk Factors Summary</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described more fully in this Annual Report on Form 10-K. The following is a summary of principal risks and uncertainties that could materially adversely affect our business, financial condition, results of operations, and future growth prospects. This summary should be read in conjunction with the “Risk Factors” section in this Annual Report on Form 10-K and should not be relied upon as an exhaustive summary of the material risks and uncertainties facing our business.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failure to manage our growth effectively and our ability to achieve and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delayed or failed launches, and any failure of our launch vehicles and spacecraft to operate as intended, resulting in regulatory holds or suspensions following launch anomalies.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manufacture our launch vehicles, landers, or orbital vehicles at a quantity and quality that our customers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hazards and operational risks that our products and service offerings are exposed to a wide and unique range of risks due to the unpredictability of space.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commercial launch services for small- and medium-sized payloads is still emerging, and shifting, and the market may not achieve the growth potential we expect.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in U.S. government operations and funding and budgetary priorities for the U.S. government could have a material adverse effect on our revenues, earnings and cash flows, and disruptions in government operations may negatively impact regulatory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dependence on contracts entered into in the ordinary course of business and our dependence on major customers and vendors.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Concentration of our customers and backlog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developing new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Uncertain global macro-economic and political conditions, including the implementation of tariffs.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of our information technology systems, physical or electronic security protections.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our current CEO and other members of management, as well as our highly trained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operate Alpha at our anticipated launch rate or finalize the development and delivery of Eclipse.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realize the expected benefits of the SciTec acquisition, and integrate any future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scarcity or unavailability of critical components or raw materials used to manufacture our products or used in our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operating results may fluctuate significantly.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publicity stemming from any incident involving us, our competitors, or our customers.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to adequately protect our proprietary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Shortfalls in available external R&amp;D funding.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comply with any of our contracts or meet eligibility requirements to obtain certain government contracts.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failure to establish and maintain important relationships with government agencies and prime contractors.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classified contracts with the U.S. government, which may limit investor insight into portions of our business.</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Our operations depend on our manufacturing facilities, which are subject to physical and other risks. </w:t>
      </w:r>
    </w:p>
    <w:p>
      <w:pPr>
        <w:pStyle w:val="TextBody"/>
        <w:bidi w:val="0"/>
        <w:spacing w:before="0" w:after="200"/>
        <w:jc w:val="left"/>
        <w:rPr>
          <w:rFonts w:ascii="Times New Roman" w:hAnsi="Times New Roman"/>
          <w:sz w:val="20"/>
        </w:rPr>
      </w:pPr>
      <w:r>
        <w:rPr>
          <w:rFonts w:ascii="Times New Roman" w:hAnsi="Times New Roman"/>
          <w:b/>
          <w:color w:val="000000"/>
          <w:sz w:val="20"/>
        </w:rPr>
        <w:t xml:space="preserve">Risks Related </w:t>
      </w:r>
      <w:r>
        <w:rPr>
          <w:rFonts w:ascii="Times New Roman" w:hAnsi="Times New Roman"/>
          <w:b/>
          <w:color w:val="010302"/>
          <w:sz w:val="20"/>
        </w:rPr>
        <w:t>to Litigation and Regulation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business is subject to a wide variety of extensive and evolving government laws and regulations and contracting in the defense industry is subject to significant regulation.</w:t>
      </w:r>
    </w:p>
    <w:p>
      <w:pPr>
        <w:pStyle w:val="TextBody"/>
        <w:bidi w:val="0"/>
        <w:spacing w:before="120" w:after="200"/>
        <w:jc w:val="left"/>
        <w:rPr>
          <w:color w:val="000000"/>
        </w:rPr>
      </w:pPr>
      <w:r>
        <w:rPr>
          <w:color w:val="000000"/>
        </w:rPr>
        <w: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are subject to complex tax laws. </w:t>
      </w:r>
    </w:p>
    <w:p>
      <w:pPr>
        <w:pStyle w:val="TextBody"/>
        <w:bidi w:val="0"/>
        <w:spacing w:before="0" w:after="200"/>
        <w:jc w:val="both"/>
        <w:rPr>
          <w:rFonts w:ascii="Times New Roman" w:hAnsi="Times New Roman"/>
          <w:sz w:val="20"/>
        </w:rPr>
      </w:pPr>
      <w:r>
        <w:rPr>
          <w:rFonts w:ascii="Times New Roman" w:hAnsi="Times New Roman"/>
          <w:b/>
          <w:color w:val="000000"/>
          <w:sz w:val="20"/>
        </w:rPr>
        <w:t>Risks Related to Our Indebtedness</w:t>
      </w:r>
      <w:r>
        <w:rPr>
          <w:rFonts w:ascii="Times New Roman" w:hAnsi="Times New Roman"/>
          <w:color w:val="000000"/>
          <w:sz w:val="20"/>
        </w:rPr>
        <w:t xml:space="preserve"> </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substantial indebtedness, and we may not be able to generate sufficient cash to service all of such indebtedness.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Risks Related to Our common stock Risks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market price of our common stock may be volatile or may decline steeply or suddenly regardless of our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requirements of being a public company, including compliance with the reporting requirements of the Exchange Act and the requirements of the Sarbanes-Oxley Act and Nasdaq, may strain our resources, increase our costs, and distract management. </w:t>
      </w:r>
    </w:p>
    <w:p>
      <w:pPr>
        <w:pStyle w:val="TextBody"/>
        <w:bidi w:val="0"/>
        <w:spacing w:before="120" w:after="200"/>
        <w:jc w:val="left"/>
        <w:rPr>
          <w:color w:val="000000"/>
        </w:rPr>
      </w:pPr>
      <w:r>
        <w:rPr>
          <w:color w:val="000000"/>
        </w:rPr>
        <w: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As an emerging growth company, we are able to avail ourselves of reduced disclosure requirements.</w:t>
      </w:r>
    </w:p>
    <w:p>
      <w:pPr>
        <w:pStyle w:val="TextBody"/>
        <w:bidi w:val="0"/>
        <w:spacing w:before="0" w:after="200"/>
        <w:jc w:val="left"/>
        <w:rPr>
          <w:rFonts w:ascii="Times New Roman" w:hAnsi="Times New Roman"/>
          <w:sz w:val="20"/>
        </w:rPr>
      </w:pPr>
      <w:r>
        <w:rPr>
          <w:rFonts w:ascii="Times New Roman" w:hAnsi="Times New Roman"/>
          <w:b/>
          <w:color w:val="000000"/>
          <w:sz w:val="20"/>
        </w:rPr>
        <w:t>Related to Our Organizational Structure</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AE Industrial Partners controls us, and its interests may conflict with ours or our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bylaws could make a merger, tender offer, or proxy contest difficult, thereby depressing the trading price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“controlled company” within the meaning of the Nasdaq rules and we rely on exemptions from certain corporate governance requirements.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fail to manage our growth effectively, we may be unable to execute our business plan and our business, financial conditions, and results of operations could be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experienced, and may continue to experience, rapid growth, which has placed, and may continue to place, significant demands on our management, sales and marketing, administrative, financial, R&amp;D, and other resources. Additionally, our organizational structure is becoming more complex as we scale our operational, financial and management controls, as well as our reporting systems and procedures. If we fail to manage our anticipated growth, such failure could negatively affect our reputation and harm our ability to attract new customers and to grow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achieve the future revenue growth we have projected, we must develop and market new products and services. We intend to expand our operations significantly. To properly manage our growth, we will need to hire and retain additional personnel, upgrade our existing operational management and financial and reporting systems, and improve our business processes and controls. Our future expansion will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scaling our revenue and achieving the operating efficiencies necessary to achieve and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anticipating and responding to changing customer preferences;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anticipating and responding to macroeconomic changes generally, including changes in the markets for launch services and spacecraft solutions and services and related technology and components;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improving and expanding our operations and information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successfully competing against established companies and new market entrants;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managing and improving our business processes in response to changing business needs;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effectively scaling our operations while maintaining high customer satisfaction;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realizing the expected benefits of the SciTec acquisition, and integrating any future acquisitions, including personnel, systems, and business processes;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avoiding or managing interruptions in our business from information technology downtime, cybersecurity breaches and other factors affecting our physical and digital infrastructure;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adapting to changing conditions in our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complying with regulations applicable to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hiring and training talented employees at all levels of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new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controlling expenses and investments in anticipation of expanded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continuing to upgrade the existing operational management and financial reporting systems and team to maintain compliance with requirements as a public company;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implementing and enhancing administrative infrastructure, systems, and processes.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our operations continue to grow as planned, of which there can be no assurance, we will need to expand our sales and marketing, R&amp;D, customer and commercial strategy, products and services, supply, and manufacturing functions. These efforts require, and will continue to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the manufacture of our space vehicles and related equipment. Our continued growth could increase the strain on our resources, and we could experience operating difficulties, including difficulties in hiring and training employees, finding manufacturing capacity to produce our space vehicles and related equipment, and delays in production.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00000"/>
          <w:sz w:val="20"/>
        </w:rPr>
        <w:t>We have a history of losses, we anticipate increasing operating expenses and capital expenditures in the future and we may not be able to achieve and, if ever achieved, maintain profitability.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experienced net losses of $298.3 million $231.1 million, and $135.5 million for the years ended December 31, 2025, 2024 and 2023, respectively. We expect to continue to incur net losses for the next several years and we may not achieve or maintain profitability in the future. Because the markets for launch services, space systems, related components and space data applications are evolving, it is difficult for us to predict our future results of operations or the limits of our market opportunity. In addition, our customers for whom we provide these products and services may experience delays or technical challenges with their products and services that limit or delay our expected revenue and future growth opportunities from those customers. We expect our operating expenses and capital expenditures to significantly increase as we make significant investments, expand our operations and infrastructure, develop and introduce new technologies, and hire additional personnel. These efforts may be more costly than we expect and may not result in revenue growth or increased efficiency. In addition, as we grow as a public company, we will continue to incur additional significant administrative expenses that we did not incur as a private company. If our revenue does not increase to offset these expected increases in our operating expenses, we will not be profitable in future periods. Our ability to achieve profitability is dependent on our ability to generate cash flows from operations, identify and obtain additional sources of funding and pursue expense reduction opportunities, but we may be unable to successfully implement these strategies.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and results of operations could be adversely affected. We cannot assure you that we will ever achieve or sustain profitability and may continue to incur significant losses going forward. Any failure by us to achieve or sustain profitability on a consistent basis could cause the value of our common stock to decline. </w:t>
      </w:r>
    </w:p>
    <w:p>
      <w:pPr>
        <w:pStyle w:val="TextBody"/>
        <w:bidi w:val="0"/>
        <w:spacing w:before="200" w:after="283"/>
        <w:jc w:val="both"/>
        <w:rPr>
          <w:rFonts w:ascii="Times New Roman" w:hAnsi="Times New Roman"/>
          <w:sz w:val="20"/>
        </w:rPr>
      </w:pPr>
      <w:r>
        <w:rPr>
          <w:rFonts w:ascii="Times New Roman" w:hAnsi="Times New Roman"/>
          <w:b/>
          <w:i/>
          <w:color w:val="000000"/>
          <w:sz w:val="20"/>
        </w:rPr>
        <w:t>We have in the past and may in the future experience delayed launches, launch failures, failure of our launch vehicles, landers, or orbital vehicles to reach their planned orbital locations, significant increases in the costs related to launches of launch vehicles, landers, or orbital vehicles, and insufficient capacity available from third-party providers of launch services with whom we partner.</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Any such issue could result in the loss of our launch vehicles, landers, or orbital vehicles or cause significant delays in their deployment, which could harm our business,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Delays in launching launch vehicles, landers or orbital vehicles are common and can result from manufacturing delays, supply chain delays, natural or man-made disasters, adverse weather conditions or issues at the facilities used for testing, training, and operating space-related activities, including launch sites, extended product development programs, unavailability of reliable launch opportunities with suppliers, launch supplier schedule delays, delays in obtaining required regulatory approvals, regulatory standards preventing us from launching at certain times, unexpected national priority events, changes in landing coordinates, updates to mission specifications (including mission scope and objectives), our customers exercising their right to delay for a fee pursuant to the terms of their contractual arrangements, launch failures, and unexpected events or disruptions that occur during transportation of launch vehicles or other equipment to the launch payload processing facility. If launch vehicle or lander manufacturing schedules are not met, a launch opportunity may not be available at the time the satellites or landers are ready to be launched. We also share launches with other satellite or launch vehicle manufacturers (particularly in the context of our ridesharing arrangements with customers) and launch service providers who have caused, and may in the future cause, launch delays that are outside of our control. In addition, launch vehicles or satellite deployment mechanisms may fail, which could result in the destruction of any satellites or landers we have in such launch vehicle or an inability for the satellites or landers to perform their intended mission.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Launch failures also result in significant delays in the deployment of satellites or landers because of the need to manufacture replacement parts and to obtain alternative launch opportunities and FAA approval to launch again. For example, on April 29, 2025 an anomaly occurred during our Alpha mission that launched from Vandenberg Space Force Base in California. As a result, the FAA required us to conduct a mishap investigation before we could conduct further launches. As announced on August 26,2025, we have since received clearance from the FAA to resume Alpha rocket launches. We also regularly review intended landing coordinates in order to determine the optimal landing site for our landers in consultation with NASA, while also updating mission specifications such as the scope of missions and the mission objectives.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such, from time to time, we have made, and expect to continue to make, material modifications to our missions, each of which may, alone or in the aggregate, cause us to experience material delays. Further, it could be more costly, and potentially prohibitively more costly, for us to launch and deploy our satellites or landers in the future due to increases in the cost of launches, launch insurance rates, and launch-related services. We have previously experienced, and may experience in the future, delays or other complications in the design, development, manufacture, launch, production, delivery, or servicing ramp of our product and service offerings. If delays like this arise or recur, if our remediation measures and process changes are not successful, if our customers exercise their right to delay pursuant to the terms of our contractual arrangements, if there is an increase in the cost of launches or related services, or if we experience other issues with design, production, or quality underperformance or failures, there could be a material adverse effect on our business, financial condition, and results of operations.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If we are unable to adapt to and satisfy customer demands with respect to our product and service offerings in a timely and cost-effective manner, or</w:t>
      </w:r>
      <w:r>
        <w:rPr>
          <w:rFonts w:ascii="Times New Roman" w:hAnsi="Times New Roman"/>
          <w:color w:val="000000"/>
          <w:sz w:val="20"/>
        </w:rPr>
        <w:t xml:space="preserve"> </w:t>
      </w:r>
      <w:r>
        <w:rPr>
          <w:rFonts w:ascii="Times New Roman" w:hAnsi="Times New Roman"/>
          <w:b/>
          <w:i/>
          <w:color w:val="000000"/>
          <w:sz w:val="20"/>
        </w:rPr>
        <w:t>if we are unable to manufacture our launch vehicles, landers, or orbital vehicles at a quantity and quality that our customers demand, our ability to</w:t>
      </w:r>
      <w:r>
        <w:rPr>
          <w:rFonts w:ascii="Times New Roman" w:hAnsi="Times New Roman"/>
          <w:color w:val="000000"/>
          <w:sz w:val="20"/>
        </w:rPr>
        <w:t xml:space="preserve"> </w:t>
      </w:r>
      <w:r>
        <w:rPr>
          <w:rFonts w:ascii="Times New Roman" w:hAnsi="Times New Roman"/>
          <w:b/>
          <w:i/>
          <w:color w:val="000000"/>
          <w:sz w:val="20"/>
        </w:rPr>
        <w:t>grow our business may suffer.</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success of our business depends in part on effectively managing and maintaining our commercial launch services and our national security software offerings, manufacturing a sufficient volume of launch vehicles, landers, and orbital vehicles, conducting a sufficient number of launches to meet customer demand, and providing customers with a high-quality experience that meets or exceeds their expectations. Even if we succeed in developing launch vehicles, landers, and orbital vehicles or producing these and other products consistent with our targeted timelines and customers’ expectations, we could thereafter fail to develop the ability to produce these products or provide the corresponding cislunar services at a sufficient volume with a quality management system that ensures each unit performs as required. Any delay in our ability to produce launch vehicles, landers, and orbital vehicles or provide cislunar services at the rate our customers require and with a reliable quality management system could have a material adverse effect on our business. If our current or future launch services do not meet expected performance or quality standards, including with respect to customer safety and satisfaction, we could experience operational delays. Further, launch operations within restricted airspace require advance scheduling and coordination with government agencies and owners of launch sites and other users, and any high priority national defense assets will have priority in the use of these resources, which may impact the cadence of our launch operations or could result in cancellations, launch facility transfers, additional costs, or rescheduling. Any operational or manufacturing delays or other unplanned changes to our ability to conduct our launches or manufacture our products could have a material adverse effect on our business, financial condition, and results of operations. Additionally, if we fail to deliver software that meets our customers’ demands they may not renew or extend their contracts with us. There can be no assurances that we will be able to renew or obtain additional contracts (on the same or better terms, or at all) to replace any revenue lost upon the expiration or completion of any particular contract. </w:t>
      </w:r>
    </w:p>
    <w:p>
      <w:pPr>
        <w:pStyle w:val="TextBody"/>
        <w:bidi w:val="0"/>
        <w:spacing w:before="200" w:after="283"/>
        <w:jc w:val="both"/>
        <w:rPr>
          <w:rFonts w:ascii="Times New Roman" w:hAnsi="Times New Roman"/>
          <w:sz w:val="20"/>
        </w:rPr>
      </w:pPr>
      <w:r>
        <w:rPr>
          <w:rFonts w:ascii="Times New Roman" w:hAnsi="Times New Roman"/>
          <w:b/>
          <w:i/>
          <w:color w:val="000000"/>
          <w:sz w:val="20"/>
        </w:rPr>
        <w:t>Space is a harsh and unpredictable environment where our products and service offerings are exposed to a wide and unique range of environmental risks, including, among others, coronal mass ejections, solar flares, and other extreme space weather events and potential collision with space debris or another spacecraft, which could adversely affect our launch vehicle and spacecraft performance.</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Space weather, including coronal mass ejections and solar flares have the potential to impact the performance and controllability of launch vehicles and spacecraft on orbit, including completely disabling our launch vehicles or spacecraft on orbit. Although we have some ability to actively maneuver our spacecraft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launch vehicles or spacecraft should a collision occur. Any such damage to our launch vehicles and spacecraft could impact the success of our customers’ missions, our reputation, the reusability of certain of our products and have other negative effects that we do not currently anticipate, any of which could adversely impact our business, results of operation and financial condition. </w:t>
      </w:r>
    </w:p>
    <w:p>
      <w:pPr>
        <w:pStyle w:val="TextBody"/>
        <w:bidi w:val="0"/>
        <w:spacing w:before="200" w:after="283"/>
        <w:jc w:val="both"/>
        <w:rPr>
          <w:rFonts w:ascii="Times New Roman" w:hAnsi="Times New Roman"/>
          <w:sz w:val="20"/>
        </w:rPr>
      </w:pPr>
      <w:r>
        <w:rPr>
          <w:rFonts w:ascii="Times New Roman" w:hAnsi="Times New Roman"/>
          <w:b/>
          <w:i/>
          <w:color w:val="000000"/>
          <w:sz w:val="20"/>
        </w:rPr>
        <w:t>We derive a substantial amount of our revenues and backlog from only a few of our customers. A loss of, or default by, one or more of these major customers, or a material adverse change in any such customer’s business or financial condition, could materially reduce our revenues and backlog.</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2025, our top five customers together accounted for over 86% of our revenue and our top five backlog customers accounted for approximately 81% of our backlog as of December 31, 2025. Our customers may change their ordering patterns or business strategy, be delayed in the fulfillment of their contractual obligations to us, reduce or cease their use of our services, or become unable to pay for services they had contracted to buy, whether due to a downturn in their business or otherwise. A substantial amount of our backlog for government customers is also subject to risks of future government funding levels, which may be substantially curtailed or abandoned, resulting in contract cancellations, modifications, delays, or reduction in orders. In particular, the current administration has indicated it is committed to decreasing federal spending and the size of government. If the administration were to take actions that impacted the amount our government customers are able to spend on our services, it could materially adversely impact our business, results of operations, and financial condition. In addition, some of our customers’ industries are undergoing significant consolidation, and our customers may be acquired by each other or other companies, including by our competitors. Such acquisitions could adversely affect our ability to sell services to such customers and to any end-users whom they serve. Our customers may in the future default, on their obligations to us due to bankruptcy, lack of liquidity, operational failure, or other reasons. Such defaults could adversely affect our revenues, operating margins, and cash flows. In addition, under our contracts, our customers generally have the right to terminate, cancel, or curtail our contracts for convenience. Any decisions by our customers to terminate, cancel, or curtail our contracts would adversely affect our backlog revenues, revenue growth, and profitability. If our backlog is reduced due to the financial difficulties of our customers or other reasons, including cancellations for convenience, our revenues, operating margins, and cash flows would be further negatively impacted.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Disruptions in U.S. government operations and funding could have a material adverse effect on our revenues, earnings, and cash flows, and otherwise adversely affect our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disruptions in federal government operations could have a material adverse effect on our revenues, earnings, and cash flows. A prolonged failure to maintain significant U.S. government operations particularly those pertaining to our business, could have a material adverse effect on our revenues,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Our business may be adversely affected by changes in budgetary priorities of the U.S. government.</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Changes in federal government budgetary priorities could directly affect our financial performance and could have a material adverse effect on our business, results of operations, prospects, and financial condition. A significant decline in government expenditures, a shift of expenditures away from programs that support the industry in which we operate or related industries or a change in federal government contracting policies could cause federal government agencies to reduce their purchases under contracts, to exercise their right to terminate contracts at any time without penalty or not to exercise options to renew contracts, any of which could result in decreased sales of our products, and could adversely impact the trading price of our common stock. In addition, if government budgets are not approved in a timely fashion, our U.S. government customers may not be able to start new programs and may not have adequate funding for existing programs, which could impact the progress in achieving certain milestones under our contracts and our business, results of operations, and financial condition. </w:t>
      </w:r>
    </w:p>
    <w:p>
      <w:pPr>
        <w:pStyle w:val="TextBody"/>
        <w:bidi w:val="0"/>
        <w:spacing w:before="200" w:after="283"/>
        <w:jc w:val="both"/>
        <w:rPr>
          <w:rFonts w:ascii="Times New Roman" w:hAnsi="Times New Roman"/>
          <w:sz w:val="20"/>
        </w:rPr>
      </w:pPr>
      <w:r>
        <w:rPr>
          <w:rFonts w:ascii="Times New Roman" w:hAnsi="Times New Roman"/>
          <w:b/>
          <w:i/>
          <w:color w:val="000000"/>
          <w:sz w:val="20"/>
        </w:rPr>
        <w:t>Increased congestion from the proliferation of LEO constellations could materially increase the risks of potential collision with space debris or another spacecraft and limit or impair our launch flexibility and/or access to our own orbital slots.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Recent years have seen increases in the number of spacecraft deployed to LEO, and publicly announced plans call for many thousands of additional spacecraft deployments over the next decade. The proliferation of these LEO constellations could materially increase the risks of potential collision with space debris or another spacecraft and affect our ability to effectively access sufficient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orbital slots to support the expected growth across our business, which could in turn have an adverse impact on the trading price of our common stock and our business. </w:t>
      </w:r>
    </w:p>
    <w:p>
      <w:pPr>
        <w:pStyle w:val="TextBody"/>
        <w:bidi w:val="0"/>
        <w:spacing w:before="200" w:after="283"/>
        <w:jc w:val="both"/>
        <w:rPr>
          <w:rFonts w:ascii="Times New Roman" w:hAnsi="Times New Roman"/>
          <w:sz w:val="20"/>
        </w:rPr>
      </w:pPr>
      <w:r>
        <w:rPr>
          <w:rFonts w:ascii="Times New Roman" w:hAnsi="Times New Roman"/>
          <w:b/>
          <w:i/>
          <w:color w:val="000000"/>
          <w:sz w:val="20"/>
        </w:rPr>
        <w:t>The market for commercial launch services for small- and medium-sized payloads is still emerging, and shifting, and the market may not achieve the</w:t>
      </w:r>
      <w:r>
        <w:rPr>
          <w:rFonts w:ascii="Times New Roman" w:hAnsi="Times New Roman"/>
          <w:color w:val="000000"/>
          <w:sz w:val="20"/>
        </w:rPr>
        <w:t xml:space="preserve"> </w:t>
      </w:r>
      <w:r>
        <w:rPr>
          <w:rFonts w:ascii="Times New Roman" w:hAnsi="Times New Roman"/>
          <w:b/>
          <w:i/>
          <w:color w:val="000000"/>
          <w:sz w:val="20"/>
        </w:rPr>
        <w:t>growth potential we expect. Our own growth relies on our ability to add new launch sites, which could be delayed by business or regulatory</w:t>
      </w:r>
      <w:r>
        <w:rPr>
          <w:rFonts w:ascii="Times New Roman" w:hAnsi="Times New Roman"/>
          <w:color w:val="000000"/>
          <w:sz w:val="20"/>
        </w:rPr>
        <w:t xml:space="preserve"> </w:t>
      </w:r>
      <w:r>
        <w:rPr>
          <w:rFonts w:ascii="Times New Roman" w:hAnsi="Times New Roman"/>
          <w:b/>
          <w:i/>
          <w:color w:val="000000"/>
          <w:sz w:val="20"/>
        </w:rPr>
        <w:t>challenges.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market for in-space infrastructure services, in particular, commercial launch services for small-sized payloads, has not been well established and is still emerging and shifting, with many players acting as customers, prime contractors, or acquirers, or targets of acquisitions. Our estimates for the total addressable launch market and satellite market are based on a number of internal and third-party estimates, including our backlog, the number of potential customers who have expressed interest in our launch services, assumed prices and production costs for our launch vehicles, assumed flight cadence, our assumptions regarding our ability to leverage our current manufacturing and operational processes, and general market conditions. While we believe our assumptions and the data underlying our estimates are reasonable at this date and time, these assumptions and estimates may not be correct and the conditions supporting our assumptions or estimates may change at any time, thereby reducing the predictive accuracy of these underlying factors. As a result, our estimates of the potential customers, total addressable market for our services, as well as the expected growth rate for the total addressable market for our services, may prove to be incorrect. Further, should any of our customers be acquired by one of our competitors, our future revenue and prospects may be impacted as those customers may decide not to continue to purchase our launch and other services. In addition, part of our strategy involves increasing our launch frequency and capability. We currently operate a launch site at the Vandenberg Space Force Base in California, and we are continuing to build out our launch infrastructure with a project currently underway at Virginia's Mid-Atlantic Regional Spaceport on Wallops Island to facilitate launches of both our Alpha and Eclipse launch vehicles, as well as a collaborative agreement with the Swedish Space Corporation (“SSC”) to jointly launch satellites with our Alpha rocket from the spaceport at Esrange Space Center in Sweden. In the future, we expect to enter into a variety of arrangements to secure additional launch sites within and outside the United States. We have in the past and may in the future experience delays in our efforts to secure additional launch sites around the globe. Regulatory challenges or our inability to timely secure the necessary permissions to establish these launch sites could delay our ability to achieve our target launch cadence and could adversely affect our business.</w:t>
      </w:r>
    </w:p>
    <w:p>
      <w:pPr>
        <w:pStyle w:val="TextBody"/>
        <w:bidi w:val="0"/>
        <w:spacing w:before="200" w:after="283"/>
        <w:jc w:val="both"/>
        <w:rPr>
          <w:rFonts w:ascii="Times New Roman" w:hAnsi="Times New Roman"/>
          <w:sz w:val="20"/>
        </w:rPr>
      </w:pPr>
      <w:r>
        <w:rPr>
          <w:rFonts w:ascii="Times New Roman" w:hAnsi="Times New Roman"/>
          <w:b/>
          <w:i/>
          <w:color w:val="000000"/>
          <w:sz w:val="20"/>
        </w:rPr>
        <w:t>If we are unable to manage the increasing technological complexity of our business, or achieve or manage our expected growth, our business could</w:t>
      </w:r>
      <w:r>
        <w:rPr>
          <w:rFonts w:ascii="Times New Roman" w:hAnsi="Times New Roman"/>
          <w:color w:val="000000"/>
          <w:sz w:val="20"/>
        </w:rPr>
        <w:t xml:space="preserve"> </w:t>
      </w:r>
      <w:r>
        <w:rPr>
          <w:rFonts w:ascii="Times New Roman" w:hAnsi="Times New Roman"/>
          <w:b/>
          <w:i/>
          <w:color w:val="000000"/>
          <w:sz w:val="20"/>
        </w:rPr>
        <w:t>be adversely affected.</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technological complexity of our business has increased significantly over the last several years. This increased complexity and our expected growth has placed, and will continue to place, a strain on our management and our administrative, operational, and financial infrastructure. We anticipate that a further growth of headcount and facilities, domestically as well as internationally, will be required to address expansion in our product and service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experience declines. 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financial condition, and results of operations could be materially adversely affected. </w:t>
      </w:r>
    </w:p>
    <w:p>
      <w:pPr>
        <w:pStyle w:val="TextBody"/>
        <w:bidi w:val="0"/>
        <w:spacing w:before="200" w:after="283"/>
        <w:jc w:val="both"/>
        <w:rPr>
          <w:rFonts w:ascii="Times New Roman" w:hAnsi="Times New Roman"/>
          <w:sz w:val="20"/>
        </w:rPr>
      </w:pPr>
      <w:r>
        <w:rPr>
          <w:rFonts w:ascii="Times New Roman" w:hAnsi="Times New Roman"/>
          <w:b/>
          <w:i/>
          <w:color w:val="000000"/>
          <w:sz w:val="20"/>
        </w:rPr>
        <w:t>We have a limited operating history in an evolving industry, which makes it difficult to forecast our revenue, plan our expenses and evaluate our</w:t>
      </w:r>
      <w:r>
        <w:rPr>
          <w:rFonts w:ascii="Times New Roman" w:hAnsi="Times New Roman"/>
          <w:color w:val="000000"/>
          <w:sz w:val="20"/>
        </w:rPr>
        <w:t xml:space="preserve"> </w:t>
      </w:r>
      <w:r>
        <w:rPr>
          <w:rFonts w:ascii="Times New Roman" w:hAnsi="Times New Roman"/>
          <w:b/>
          <w:i/>
          <w:color w:val="000000"/>
          <w:sz w:val="20"/>
        </w:rPr>
        <w:t>business and future prospects.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a limited operating history in a rapidly evolving industry that may not develop in a manner favorable to our business. While our business has grown rapidly, and much of that growth has occurred in recent periods, the markets for launch services, landers, orbital vehicles, related components, and space data applications may not continue to develop in a manner that we expect or that otherwise would be favorable to our business. As a result of our limited operating history and ongoing changes in our new and evolving industry, including evolving demand for our products and services from government and commercial customers,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or other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common stock price to decline.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If we continue to expand outside the United States, we will be exposed to a variety of risks associated with international operations that could</w:t>
      </w:r>
      <w:r>
        <w:rPr>
          <w:rFonts w:ascii="Times New Roman" w:hAnsi="Times New Roman"/>
          <w:color w:val="000000"/>
          <w:sz w:val="20"/>
        </w:rPr>
        <w:t xml:space="preserve"> </w:t>
      </w:r>
      <w:r>
        <w:rPr>
          <w:rFonts w:ascii="Times New Roman" w:hAnsi="Times New Roman"/>
          <w:b/>
          <w:i/>
          <w:color w:val="000000"/>
          <w:sz w:val="20"/>
        </w:rPr>
        <w:t>materially and adversely affect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part of our growth strategy, we have in the past identified, and in the future will aim to continue identifying, potential customers and launch sites outside of the United States. For example, in June 2024, we signed a collaborative agreement with SSC to jointly launch satellites with our Alpha rocket from the spaceport at Esrange Space Center in Sweden. As we expand internationally, we are subject to additional risks related to doing international business,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restructuring our operations to comply with local regulatory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hiring, and training highly skilled personnel in foreign jurisdictions to the extent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unexpected changes in law, including tariffs, trade barriers, and regulatory requirements, including through the International Traffic in Arms Regulations (“ITAR”), Export Administration Regulations (“EAR”), and Office of Foreign Assets Control (“OFAC”), especially in light of tariffs imposed or threatened to be imposed by the U.S. presidential administration or any retaliatory tariffs announced by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economic weakness, including inflation, or political instability in foreign economies and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taxes;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need for U.S. government approval to operate our space systems outside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government appropriation of assets or technology;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infringement, misappropriation, or other violation of our intellectual property by our partners or other third parties;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spend from our U.S. government customers;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disadvantages of competing against companies from countries that are not subject to U.S. laws and regulations, including the U.S. Foreign Corrupt Practices Act, OFAC regulations and U.S. anti-money laundering regulations, as well as exposure of our foreign operations to liability under these regulatory regimes.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any non-U.S. sales are subject to both U.S. and non-U.S. governmental regulations and procurement policies and practices, including regulations relating to import-export control, tariffs, investment, exchange controls, anti-corruption laws, and repatriation of earnings. Non-U.S. sales are also subject to varying currency, political, and economic risks. The violation of any regulation could adversely affect our plans for international expansion.</w:t>
      </w:r>
    </w:p>
    <w:p>
      <w:pPr>
        <w:pStyle w:val="TextBody"/>
        <w:bidi w:val="0"/>
        <w:spacing w:before="200" w:after="283"/>
        <w:jc w:val="both"/>
        <w:rPr>
          <w:rFonts w:ascii="Times New Roman" w:hAnsi="Times New Roman"/>
          <w:sz w:val="20"/>
        </w:rPr>
      </w:pPr>
      <w:r>
        <w:rPr>
          <w:rFonts w:ascii="Times New Roman" w:hAnsi="Times New Roman"/>
          <w:b/>
          <w:i/>
          <w:color w:val="000000"/>
          <w:sz w:val="20"/>
        </w:rPr>
        <w:t>Many of our contracts are government contracts or issued under government contracts. The inability to comply with any of our contracts or meet</w:t>
      </w:r>
      <w:r>
        <w:rPr>
          <w:rFonts w:ascii="Times New Roman" w:hAnsi="Times New Roman"/>
          <w:color w:val="000000"/>
          <w:sz w:val="20"/>
        </w:rPr>
        <w:t xml:space="preserve"> </w:t>
      </w:r>
      <w:r>
        <w:rPr>
          <w:rFonts w:ascii="Times New Roman" w:hAnsi="Times New Roman"/>
          <w:b/>
          <w:i/>
          <w:color w:val="000000"/>
          <w:sz w:val="20"/>
        </w:rPr>
        <w:t>eligibility requirements may result in financial liabilities, failure to receive security clearance certifications, and loss of current and future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number of our contracts are with a government customer, or are subcontracts entered into in connection with a prime contract with a government customer. U.S. government contracts generally are subject to the Federal Acquisition Regulation (the “FAR”), agency-specific regulations that supplement the FAR, such as the DoW’s Federal Acquisition Regulations, and other applicable laws, security requirements, and regulations. These regulations impose a broad range of requirements and terms, many of which are unique to U.S. government contracting, including various procurement, import and export, security, contract pricing and cost, contract termination and adjustments, mandatory disclosure, and audit requirements. For example, we are at times required to obtain approval to export, re-export or transfer (in-country) our products from U.S. government agencies and similar agencies elsewhere in the world. Failure to obtain approval to export, or a determination by the U.S. government or similar agencies elsewhere in the world from which we failed to receive required approvals or licenses, could eliminate or restrict our ability to sell our products outside the United States or another country of origin, and the penalties that could be imposed by the U.S. government or other applicable government for failure to comply with these laws could be significant. Our customers are often required to flow down additional government contract terms to us, and we have no ability to negotiate or object to such terms. These requirements and terms that may increase our costs of doing business and reduce our profits under these contracts. Our failure to comply with any of the terms of our contracts could result in delays in the performance of our services, an inability to acquire government or commercial contracts, reductions of the value of contracts, contract modifications or termination, inability to bill and collect receivables from customers, contractual damages, the requirement to reperform work, the assessment of penalties and fines that could lead to suspension or debarment from U.S. government contracting or subcontracting, and potential civil and criminal liability. Government contracts are also generally subject to greater scrutiny by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government, which can initiate reviews, audits, and investigations regarding our compliance with government contract requirements. Government contracts may be subject to the approval of appropriations being made by the U.S. Congress to fund the expenditures under these contracts. In particular, “whistleblower” provisions under federal law also allow private individuals, including present and former employees, to sue on behalf of the U.S. government. Any penalties, damages, fines, suspension, or damages could adversely affect our ability to operate our business and our financial results.</w:t>
      </w:r>
    </w:p>
    <w:p>
      <w:pPr>
        <w:pStyle w:val="TextBody"/>
        <w:bidi w:val="0"/>
        <w:spacing w:before="200" w:after="283"/>
        <w:jc w:val="both"/>
        <w:rPr>
          <w:rFonts w:ascii="Times New Roman" w:hAnsi="Times New Roman"/>
          <w:sz w:val="20"/>
        </w:rPr>
      </w:pPr>
      <w:r>
        <w:rPr>
          <w:rFonts w:ascii="Times New Roman" w:hAnsi="Times New Roman"/>
          <w:b/>
          <w:i/>
          <w:color w:val="000000"/>
          <w:sz w:val="20"/>
        </w:rPr>
        <w:t>We are subject to certain unique business risks as a result of supplying services to the U.S. government.</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Companies engaged in supplying defense-related services to U.S. government agencies, whether through direct contracts with the U.S. government or as a subcontractor to customers contracting with the U.S. government, are subject to business risks specific to the defense industry. These risks include the ability of the U.S. government to unilaterally: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suspend us from receiving new contracts based on alleged violations of procurement laws or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terminate existing contracts;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revoke required security clearances;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 the value of existing contracts;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audit our contract-related costs and fees including allocated indirect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U.S. government contracts can be terminated by the U.S. government at its convenience without notice. Termination for convenience provisions provide only for our recovery of costs incurred or committed, settlement expenses and profit on the work completed prior to termination.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U.S. government in-sourcing could result in loss of business opportunities and personnel. 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 material adverse effect on our business, financial condition, and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Moreover, U.S. government purchasing regulations contain a number of operational requirements that apply to entities engaged in government contracting. Failure to comply with such government contracting requirements could result in civil and criminal penalties that could have a material adverse effect on our business, financial condition, and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government inquiry or investigation uncovers improper or illegal activities, we could be subject to civil or criminal penalties or administrative sanctions, including contract termination, fines, forfeiture of fees, suspension of payment, civil False Claims Act allegations (which can include civil penalties and treble damages) and suspension or debarment from doing business with U.S. government agencies, any of which could materially adversely affect our reputation, business, financial condition, and results of operations.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Our business is substantially dependent on contracts entered into with customers in the ordinary course of business. As such, we are subject to</w:t>
      </w:r>
      <w:r>
        <w:rPr>
          <w:rFonts w:ascii="Times New Roman" w:hAnsi="Times New Roman"/>
          <w:color w:val="000000"/>
          <w:sz w:val="20"/>
        </w:rPr>
        <w:t xml:space="preserve"> </w:t>
      </w:r>
      <w:r>
        <w:rPr>
          <w:rFonts w:ascii="Times New Roman" w:hAnsi="Times New Roman"/>
          <w:b/>
          <w:i/>
          <w:color w:val="000000"/>
          <w:sz w:val="20"/>
        </w:rPr>
        <w:t>counterparty risk. If a counterparty to one of our contracts were to default or otherwise fail to perform or be delayed in its performance on any of its</w:t>
      </w:r>
      <w:r>
        <w:rPr>
          <w:rFonts w:ascii="Times New Roman" w:hAnsi="Times New Roman"/>
          <w:color w:val="000000"/>
          <w:sz w:val="20"/>
        </w:rPr>
        <w:t xml:space="preserve"> </w:t>
      </w:r>
      <w:r>
        <w:rPr>
          <w:rFonts w:ascii="Times New Roman" w:hAnsi="Times New Roman"/>
          <w:b/>
          <w:i/>
          <w:color w:val="000000"/>
          <w:sz w:val="20"/>
        </w:rPr>
        <w:t>contractual obligations to us, such default, failure to perform or delay could have a material adverse effect on our business, financial condition, and</w:t>
      </w:r>
      <w:r>
        <w:rPr>
          <w:rFonts w:ascii="Times New Roman" w:hAnsi="Times New Roman"/>
          <w:color w:val="000000"/>
          <w:sz w:val="20"/>
        </w:rPr>
        <w:t xml:space="preserve"> </w:t>
      </w: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is substantially dependent on contracts entered into with customers in the ordinary course of business. Our budgeted capital expenditures for our backlog, forecasted growth, and strategic plan are based on revenues expected to be generated pursuant to existing contracts. If a customer were to default or otherwise fail to perform or be delayed in the fulfillment of its contractual obligations to us, we would be required to adjust our budget, forecasts, and strategic plans, which may negatively affect our business, financial condition, cash flows, and/or liquidity. Additionally, if the scope of anticipated work related to any customer contract were to change due to unforeseen circumstances or evolving requirements of one or more of our counterparties, we may be unable to generate revenue on our anticipated timeline or may be required to incur increased costs from those originally estimated for a project, which could cause our budgets, forecasts, and plans to be inaccurate. It is not possible to predict with accuracy the impact of any default, failure to perform or delay, which results in our inability to completely mitigate such risks. As such, the counterparty default, failure to perform or delay in performance may have a material adverse impact on our business, financial condition, and results of operations.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We may not be successful in developing new technology, and the technology we are successful in developing may not meet the needs of our</w:t>
      </w:r>
      <w:r>
        <w:rPr>
          <w:rFonts w:ascii="Times New Roman" w:hAnsi="Times New Roman"/>
          <w:color w:val="000000"/>
          <w:sz w:val="20"/>
        </w:rPr>
        <w:t xml:space="preserve"> </w:t>
      </w:r>
      <w:r>
        <w:rPr>
          <w:rFonts w:ascii="Times New Roman" w:hAnsi="Times New Roman"/>
          <w:b/>
          <w:i/>
          <w:color w:val="000000"/>
          <w:sz w:val="20"/>
        </w:rPr>
        <w:t>customers or potential new customers.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markets in which we operate are characterized by changing technology and evolving industry standards, and we may not be successful in identifying, developing, and marketing products and services that respond to rapid technological change, evolving technical standards and systems developed by others. Our competitors may develop technology that better meets the needs of our customers. Such development is also expensive. If we do not continue to develop, manufacture, and market innovative technologies or applications that meet customers’ requirements,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 </w:t>
      </w:r>
    </w:p>
    <w:p>
      <w:pPr>
        <w:pStyle w:val="TextBody"/>
        <w:bidi w:val="0"/>
        <w:spacing w:before="200" w:after="283"/>
        <w:jc w:val="both"/>
        <w:rPr>
          <w:rFonts w:ascii="Times New Roman" w:hAnsi="Times New Roman"/>
          <w:sz w:val="20"/>
        </w:rPr>
      </w:pPr>
      <w:r>
        <w:rPr>
          <w:rFonts w:ascii="Times New Roman" w:hAnsi="Times New Roman"/>
          <w:b/>
          <w:i/>
          <w:color w:val="000000"/>
          <w:sz w:val="20"/>
        </w:rPr>
        <w:t>Uncertain global macro-economic and political conditions could materially adversely affect our results of operations and financial condition.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results of operations and growth prospects are materially affected by economic and political conditions in the United States and internationally, including inflation, deflation, interest rates, recession or fears of recession, availability of capital, energy and commodity prices, the availability and cost of labor, tariffs, trade laws and trade wars, and the effects of governmental initiatives to manage economic conditions. In particular, the imposition (or threatened imposition) of tariffs by the U.S. government and countermeasures that were, and may be taken, in response thereto could materially adversely impact global economic and political conditions, and disrupt the business of our customers and suppliers, and thereby harm our business. In certain prior periods, we have seen a broad-based weakening in the global macroeconomic environment which has impacted and could impact in the future certain of our markets. Additionally, instability in the global credit markets, the impact of uncertainty regarding global trade and central bank monetary policy, the instability in the geopolitical environment in many parts of the world (including as a result of the ongoing Russia and Ukraine war, conflict in the Middle East, China-Taiwan relations, and conditions in Latin America following the recent U.S. military action in Venezuela), the current economic challenges in China, including global economic ramifications of Chinese economic difficulties, and other disruptions may continue to put pressure on global economic conditions. If global economic and market conditions, or economic conditions in key markets, remain uncertain or deteriorate further, we may experience material impacts on our business, financial condition, and results of operations. For example, such conditions may cause current or potential customers to delay or decrease spending on our products and services or render our suppliers unable to meet our demand requirements, maintain the pricing of their products or continue operations, as their businesses and/or budgets are impacted by economic conditions. The inability of current and potential customers to pay us for our products and services, and the inability of our suppliers to provide us with products or services with the expected volumes or prices, may adversely affect our earnings and cash flows. The current invasion of Ukraine by Russia has escalated tensions among the United States, the North Atlantic Treaty Organization (“NATO”), and Russia. Such invasion, ongoing military conflict, resulting sanctions, and related countermeasures by NATO states, the United States, and other countries are likely to lead to market disruptions, including significant volatility in commodity prices, credit, and capital markets, as well as supply chain interruptions for equipment, which could have an adverse impact on our operations and financial performance. Volatility in equity capital markets may adversely affect the market price of our common stock, which may affect our ability to fund our business through the sale of equity securities and retain key employees through our equity compensation plans.</w:t>
      </w:r>
    </w:p>
    <w:p>
      <w:pPr>
        <w:pStyle w:val="TextBody"/>
        <w:bidi w:val="0"/>
        <w:spacing w:before="200" w:after="283"/>
        <w:jc w:val="both"/>
        <w:rPr>
          <w:rFonts w:ascii="Times New Roman" w:hAnsi="Times New Roman"/>
          <w:sz w:val="20"/>
        </w:rPr>
      </w:pPr>
      <w:r>
        <w:rPr>
          <w:rFonts w:ascii="Times New Roman" w:hAnsi="Times New Roman"/>
          <w:b/>
          <w:i/>
          <w:color w:val="000000"/>
          <w:sz w:val="20"/>
        </w:rPr>
        <w:t>If critical components or raw materials used to manufacture our products or used in our development programs become scarce or unavailable, then</w:t>
      </w:r>
      <w:r>
        <w:rPr>
          <w:rFonts w:ascii="Times New Roman" w:hAnsi="Times New Roman"/>
          <w:color w:val="000000"/>
          <w:sz w:val="20"/>
        </w:rPr>
        <w:t xml:space="preserve"> </w:t>
      </w:r>
      <w:r>
        <w:rPr>
          <w:rFonts w:ascii="Times New Roman" w:hAnsi="Times New Roman"/>
          <w:b/>
          <w:i/>
          <w:color w:val="000000"/>
          <w:sz w:val="20"/>
        </w:rPr>
        <w:t>we may incur delays in manufacturing and delivery of our products and in completing our development programs, which could damage our</w:t>
      </w:r>
      <w:r>
        <w:rPr>
          <w:rFonts w:ascii="Times New Roman" w:hAnsi="Times New Roman"/>
          <w:color w:val="000000"/>
          <w:sz w:val="20"/>
        </w:rPr>
        <w:t xml:space="preserve"> </w:t>
      </w:r>
      <w:r>
        <w:rPr>
          <w:rFonts w:ascii="Times New Roman" w:hAnsi="Times New Roman"/>
          <w:b/>
          <w:i/>
          <w:color w:val="000000"/>
          <w:sz w:val="20"/>
        </w:rPr>
        <w:t>business.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Although we maintain a qualification and performance surveillance process and we believe that sources of supply for raw materials and components are generally adequate, it is difficult to predict what effects shortages or price increases may have in the future. Our ability to meet customers’ demands depends, in part, on our ability to obtain timely and adequate delivery of quality materials, parts, and components from our suppliers. We obtain certain of our hardware components, various subsystems and systems and other products and services from a limited group of suppliers and vendors, some of which are sole source suppliers and vendors. Although we hold long-term non-binding contracts with certain key suppliers that establish pricing, minimize lead times and to some degree mitigate risk, we do not have long-term agreements with all suppliers that obligate them to continue to sell components, products required to build our systems, or products to us. Our reliance on suppliers without long-term non-binding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 Moreover, if our suppliers change their processes and quality control without notice, such change could impact the quality of our subassemblies, which could materially adversely affect our business. We obtain certain components from suppliers outside of the United States, which exposes us to risks associated with international trade, including, but not limited to, the impact of tariffs and retaliatory measures taken in response thereto, including controls on the export of rare earth minerals to the United States, such as China’s ban on exports of rare earth minerals to the United States. In addition, certain raw materials and components used in the manufacture of our products and in our development programs are periodically subject to supply shortages, and our business is subject to the risk of price increases and periodic delays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delivery. Particularly, the market for electronic components has been and currently still is experiencing increased demand and a global shortage of semiconductors, creating substantial uncertainty regarding our suppliers’ ongoing timely delivery of these components to us. Shortages in components for our products and delays in obtaining components for our products could cause customers to terminate their contracts with us, delay orders from us or cause us to delay accepting orders, negatively impact our ability to win new programs and/or contracts, negatively impact and disrupt our development programs, increase our costs and accordingly, our losses on fixed-price contracts and materially adversely affect our business, financial condition, and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Moreover, if any of our suppliers become capacity constrained, financially unstable, or otherwise unable or unwilling to provide us with raw materials or components, then we may have to find new suppliers. In particular, the market for semiconductors is highly competitive and other customers, including AI companies, may have significantly greater financial resources than we do. It may take several months to locate alternative suppliers, if required, and if we are able to at all, or to redesign our products to accommodate components from different suppliers. Even if we identify alternate suppliers, we may experience significant delays in manufacturing and shipping our products to customers and incur additional development, manufacturing, and other costs to establish such alternative sources, be required to redesign our products and to complete additional quality control procedures. In addition, credit constraints of key suppliers could result in accelerated payment of accounts payable by us, adversely impacting our cash flow. We have experienced increased costs for components, as well as increased shipping, warehousing, and inventory costs. We cannot predict the extent to which these costs will continue and/or continue to increase or if we will be able to obtain replacement components within the time frames that we require at an affordable cost, if at all. Prolonged disruptions in the supply of any of our key raw materials or components could cause us to experience cancellations or delays of scheduled launches, customer cancellations, or reductions in our prices and margins, any of which could harm our business, financial condition, and results of operations. Additionally, shortages of components may result in increased inventory of unfinished products and significant quantities of other unused components remaining in inventory, which could expose us to increased risks of obsolescence and losses which may not be fully covered by insurance. </w:t>
      </w:r>
    </w:p>
    <w:p>
      <w:pPr>
        <w:pStyle w:val="TextBody"/>
        <w:bidi w:val="0"/>
        <w:spacing w:before="200" w:after="283"/>
        <w:jc w:val="both"/>
        <w:rPr>
          <w:rFonts w:ascii="Times New Roman" w:hAnsi="Times New Roman"/>
          <w:sz w:val="20"/>
        </w:rPr>
      </w:pPr>
      <w:r>
        <w:rPr>
          <w:rFonts w:ascii="Times New Roman" w:hAnsi="Times New Roman"/>
          <w:b/>
          <w:i/>
          <w:color w:val="000000"/>
          <w:sz w:val="20"/>
        </w:rPr>
        <w:t>The U.S. government’s budget deficit and the national debt, as well as any inability of the U.S. government to complete its budget process for any</w:t>
      </w:r>
      <w:r>
        <w:rPr>
          <w:rFonts w:ascii="Times New Roman" w:hAnsi="Times New Roman"/>
          <w:color w:val="000000"/>
          <w:sz w:val="20"/>
        </w:rPr>
        <w:t xml:space="preserve"> </w:t>
      </w:r>
      <w:r>
        <w:rPr>
          <w:rFonts w:ascii="Times New Roman" w:hAnsi="Times New Roman"/>
          <w:b/>
          <w:i/>
          <w:color w:val="000000"/>
          <w:sz w:val="20"/>
        </w:rPr>
        <w:t>government fiscal year could have an adverse impact on our business, 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U.S. government’s budget deficit and the national debt, as well as any inability of the U.S. government to complete its budget process for any government fiscal year and consequently having to shut down or operate on funding levels equivalent to its prior fiscal year pursuant to a “continuing resolution,” could have an adverse impact on our business, financial condition, and results of operations. Considerable uncertainty exists regarding how future budget and program decisions will unfold, including the defense spending priorities of the U.S. government, what challenges budget reductions will present for the defense industry and whether annual appropriations bills for all agencies will be enacted due to many factors, including but not limited to, changes in the political environment, including before or after a change to the leadership within the government administration, and any resulting uncertainty or changes in policy or priorities and resultant funding. The U.S. government’s budget deficit and the national debt could have an adverse impact on our business, financial condition, and results of operations in a number of ways,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could reduce or delay its spending on, reprioritize its spending away from, or decline to provide funding for the government programs in which we participate;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government spending could be impacted by alternate arrangements to sequestration, which increases the uncertainty as to, and the difficulty in predicting, U.S. government spending priorities and levels;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declines in revenue, profitability, and cash flows as a result of reduced or delayed orders or payments or other factors caused by economic difficulties of our customers and prospective customers, including U.S. federal, state, and local governments.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Furthermore, we believe continued budget pressures could have serious negative consequences for the security of the U.S., the defense industrial base and the customers, employees, suppliers, investors, and communities that rely on companies in the defense industrial base. Budget and program decisions made in this environment would have long-term implications for us and the entire defense industry. </w:t>
      </w:r>
    </w:p>
    <w:p>
      <w:pPr>
        <w:pStyle w:val="TextBody"/>
        <w:bidi w:val="0"/>
        <w:spacing w:before="200" w:after="283"/>
        <w:jc w:val="both"/>
        <w:rPr>
          <w:rFonts w:ascii="Times New Roman" w:hAnsi="Times New Roman"/>
          <w:sz w:val="20"/>
        </w:rPr>
      </w:pPr>
      <w:r>
        <w:rPr>
          <w:rFonts w:ascii="Times New Roman" w:hAnsi="Times New Roman"/>
          <w:b/>
          <w:i/>
          <w:color w:val="000000"/>
          <w:sz w:val="20"/>
        </w:rPr>
        <w:t>A failure of our information technology systems, physical or electronic security protections, or an interruption in their operation due to internal or</w:t>
      </w:r>
      <w:r>
        <w:rPr>
          <w:rFonts w:ascii="Times New Roman" w:hAnsi="Times New Roman"/>
          <w:color w:val="000000"/>
          <w:sz w:val="20"/>
        </w:rPr>
        <w:t xml:space="preserve"> </w:t>
      </w:r>
      <w:r>
        <w:rPr>
          <w:rFonts w:ascii="Times New Roman" w:hAnsi="Times New Roman"/>
          <w:b/>
          <w:i/>
          <w:color w:val="000000"/>
          <w:sz w:val="20"/>
        </w:rPr>
        <w:t>external factors including cyber attacks or insider threats, could have a material adverse effect on our business, financial condition, or results of</w:t>
      </w:r>
      <w:r>
        <w:rPr>
          <w:rFonts w:ascii="Times New Roman" w:hAnsi="Times New Roman"/>
          <w:color w:val="000000"/>
          <w:sz w:val="20"/>
        </w:rPr>
        <w:t xml:space="preserve"> </w:t>
      </w:r>
      <w:r>
        <w:rPr>
          <w:rFonts w:ascii="Times New Roman" w:hAnsi="Times New Roman"/>
          <w:b/>
          <w:i/>
          <w:color w:val="000000"/>
          <w:sz w:val="20"/>
        </w:rPr>
        <w:t>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operations are dependent on our ability to protect our employees, business systems, manufacturing capabilities, information systems, classified information, controlled unclassified information, computer equipment and information databases from system failures or malicious acts. We rely on both internal information technology systems, physical controls and policies, and certain external services and service providers to manage the day-to-day operation of our business, operate elements of our manufacturing facilities, manage relationships with our employees, customers, and suppliers, fulfill customer orders and maintain our financial and accounting records. In addition, many of our systems are required to comply with higher standards applicable to systems that hold controlled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technology or data. If our main data center were to fail, or if we were to suffer an interruption or degradation of services at our main data center, we could lose important manufacturing and technical data, which could harm our business. Similarly, we rely on third-party providers and in the event that any third-party provider’s systems or service abilities failed or are interrupted, our ability to operate may be impaired. Some of these third-party providers may store or have access to our data and may not have effective controls, processes, or practices to protect our information from attack, damage, or unauthorized access. Any of these risks may be augmented if our or any third-party provider’s business continuity and disaster recovery plans prove to be inadequate. We are vulnerable to damage or interruption from earthquakes, hurricanes, floods, fires, terrorist attacks, actual or threatened acts of war, power losses, telecommunications failures, personnel misconduct, human error, and similar events. We are also vulnerable to cyber attacks or cybersecurity incidents, such as computer viruses, worms, ransomware, and other malicious and destructive code, phishing attacks, and denial or degradation of service attacks, and have been the target of attempted cyber attacks. We may also experience similar security threats to the software and systems we develop, install, or maintain under customer contracts. Although we work cooperatively with our customers and other business partners, including our service providers, suppliers, and subcontractors, to seek to minimize the potential for and impact of cyber attacks and other security threats, we must rely on the safeguards put in place by those entities. Because of the nature of our business and our support of the U.S. government, we (and our customers and suppliers) may be targeted for such attacks by hostile foreign governments.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our information technology systems to perform as anticipated for any reason or any significant breach of security could disrupt our business and result in numerous adverse consequences, including reduced effectiveness and efficiency of operations, increased costs, or loss of important information or capabilities, any of which could have a material adverse effect on our business, financial condition, or results of operations. Any security breach, including personal data breaches, or incident, including cybersecurity incidents, that we or our third-party providers experience could result in unauthorized access to, misuse of or unauthorized acquisition of our or our customers’ data, the loss, corruption, or alteration of this data, interruptions in our operations or damage to our computer hardware or systems or those of our customers. Moreover, negative publicity arising from these types of disruptions could damage our reputation and our ability to win work on sensitive contracts for defense software in the future. Such disruptions may have adverse legal and regulatory consequences to us and our business, particularly if we or our third-party providers are unable to anticipate such acts or implement adequate preventative measures. For more information on our legal and regulatory obligations with respect to data protection, privacy, and information security, see “Risk Factors—Risks Related to Litigation and Regulation—Our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materially adversely affect our business and operating results.”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subject to the U.S. Government’s security requirements, including the DoW’s National Industrial Security Program Operating Manual, for our facility and personnel security clearances, which are prerequisites to our ability to perform on classified contracts and work for the U.S. Government.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facility security clearance is required for a company to perform on classified contracts or classified work for the DoW and certain other agencies of the U.S. Government. Security clearances are subject to regulations and requirements including such requirements as those contained in the National Industrial Security Program Operating Manual (the “NISPOM”), which specifies the requirements for the protection of classified information released or disclosed in connection with U.S. Government contracts. The Defense Counterintelligence and Security Agency (“DCSA”) manages the facility clearance process under the NISPOM and conducts various facility audits and inspections throughout the life cycle of a respective facility clearance.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facility not staffed by appropriately cleared personnel, and/or that fails a DCSA inspection places the facility clearance and the ability to perform classified contracts in jeopardy. As such, we must comply with the requirements of the NISPOM and other applicable U.S. Government industrial security regulations. If we were to violate the terms and requirements of the NISPOM or such industrial security regulations (which apply to it under the terms of classified contracts, if any), or if one or more of our facilities or personnel security clearances is invalidated or terminated, we may not be able to continue to perform our existing classified contracts, if any, and may not be able to enter into new classified contracts, if any, which could adversely affect our revenues. Failure to comply with the NISPOM or other security requirements may result in loss of access to classified information and subject us to civil and criminal penalties and administrative sanctions, including termination of contracts, forfeiture of profits, suspension of payments, fines and suspension or prohibition from doing business with the U.S. Government, which could have an adverse effect on our financial position, results of operations and/or cash flows and cause reputational harm.</w:t>
      </w:r>
    </w:p>
    <w:p>
      <w:pPr>
        <w:pStyle w:val="TextBody"/>
        <w:bidi w:val="0"/>
        <w:spacing w:before="200" w:after="283"/>
        <w:jc w:val="both"/>
        <w:rPr>
          <w:rFonts w:ascii="Times New Roman" w:hAnsi="Times New Roman"/>
          <w:sz w:val="20"/>
        </w:rPr>
      </w:pPr>
      <w:r>
        <w:rPr>
          <w:rFonts w:ascii="Times New Roman" w:hAnsi="Times New Roman"/>
          <w:b/>
          <w:i/>
          <w:color w:val="000000"/>
          <w:sz w:val="20"/>
        </w:rPr>
        <w:t>Our systems utilize third-party open-source software, and any failure to comply with the terms of one or more of these open-source software licenses</w:t>
      </w:r>
      <w:r>
        <w:rPr>
          <w:rFonts w:ascii="Times New Roman" w:hAnsi="Times New Roman"/>
          <w:color w:val="000000"/>
          <w:sz w:val="20"/>
        </w:rPr>
        <w:t xml:space="preserve"> </w:t>
      </w:r>
      <w:r>
        <w:rPr>
          <w:rFonts w:ascii="Times New Roman" w:hAnsi="Times New Roman"/>
          <w:b/>
          <w:i/>
          <w:color w:val="000000"/>
          <w:sz w:val="20"/>
        </w:rPr>
        <w:t>could adversely affect our business, subject us to litigation, or create potential liability.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systems include software licensed from third parties under any one or more open-source licenses, and we expect to continue to incorporate open-source software in our systems and technology in the future. Moreover, we cannot ensure that we have effectively monitored our use of open-source software, or validated the quality or source of such software, or that we are always in compliance with the terms of the applicable open-source licenses or our current policies and procedures. From time to time, there have been claims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against companies that use open-source software in their products and services asserting that the use of such open-source software infringes the claimants’ intellectual property rights. As a result, we could be subject to suits by third parties claiming that what we believe to be licensed open-source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R&amp;D resources to change our solutions. We may continue to experience such vulnerabilities in the future. Use of open-source software may entail greater risks than use of third-party commercial software, as open-source licensors generally do not provide warranties or other contractual protections regarding infringement claims or the quality of the code, including with respect to security vulnerabilities where open-source software may be more susceptible. In addition, certain open-source licenses require that source code for software programs that incorporate, use, or combine with such open-source software be made available to the public at no cost and that any modifications or derivative works to such open-source software continue to be licensed under the same terms as the open-source software license. The terms of various open-source licenses to which we are subject are ambiguous and have not or may not have been interpreted by courts in the relevant jurisdictions, and there is a risk that such licenses could be construed in a manner that imposes unanticipated conditions or restrictions on our ability to market or provide our software and data. By the terms of certain open-source licenses, we could be required to release the source code of our proprietary software, and to make our proprietary software available under open-source licenses, if we combine our proprietary software with open-source software in a certain manner. In the event that portions of our proprietary software are determined to be subject to an open-source license, we could be required to publicly release the affected portions of our source code, re-engineer all or a portion of our solutions, seek licenses from third parties on terms that are not commercially feasible or otherwise be limited in the provision of our products and services, each of which could reduce or eliminate the value of our solutions.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R&amp;D resources, and we may not be able to successfully complete any such re-engineering or other remedial efforts. Any of these events could create liability for us and damage our reputation, which could have a material adverse effect on our business, financial condition, and results of operations.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We depend on our current CEO and other executive officers, senior management team, and highly trained employees, and any work stoppage,</w:t>
      </w:r>
      <w:r>
        <w:rPr>
          <w:rFonts w:ascii="Times New Roman" w:hAnsi="Times New Roman"/>
          <w:color w:val="000000"/>
          <w:sz w:val="20"/>
        </w:rPr>
        <w:t xml:space="preserve"> </w:t>
      </w:r>
      <w:r>
        <w:rPr>
          <w:rFonts w:ascii="Times New Roman" w:hAnsi="Times New Roman"/>
          <w:b/>
          <w:i/>
          <w:color w:val="000000"/>
          <w:sz w:val="20"/>
        </w:rPr>
        <w:t>difficulty in hiring similar employees, or ineffective succession planning could materially adversely affect our business and could impair our</w:t>
      </w:r>
      <w:r>
        <w:rPr>
          <w:rFonts w:ascii="Times New Roman" w:hAnsi="Times New Roman"/>
          <w:color w:val="000000"/>
          <w:sz w:val="20"/>
        </w:rPr>
        <w:t xml:space="preserve"> </w:t>
      </w:r>
      <w:r>
        <w:rPr>
          <w:rFonts w:ascii="Times New Roman" w:hAnsi="Times New Roman"/>
          <w:b/>
          <w:i/>
          <w:color w:val="000000"/>
          <w:sz w:val="20"/>
        </w:rPr>
        <w:t>relationships with U.S. government customers and disrupt the management of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Because our products are highly engineered, we depend on an educated and trained workforce. There is substantial competition for skilled personnel in our industry, and we could be materially adversely affected by a shortage of skilled employees. We may not be able to fill new positions or vacancies created by expansion or turnover or attract and retain qualified personnel. We may not be able to continue to hire, train, and retain qualified employees at current wage rates since we operate in a competitive labor market, and currently significant inflationary and other pressures on wages exist.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our success depends in part on our ability to attract and motivate senior management and highly skilled key employees, including engineering, manufacturing and quality assurance, design, finance, marketing, sales and support, and finance and accounting personnel. Achieving this objective may be difficult due to a variety of factors, including fluctuations in economic and industry conditions, competitors’ hiring practices, and the effectiveness of our compensation programs. Competition for qualified personnel can be strong. Our senior management team has extensive experience in the aerospace industry, and we believe that their depth of experience is instrumental to our continued success. The loss of any one or more members of our senior management team, for any reason, including resignation or retirement, could impair our ability to execute our business strategy, and if we are unable to effectively provide for the succession of key personnel, senior management, and our executive officers, our business, financial condition, and results of operations could be materially adversely affected.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depend on our ability to recruit and retain employees who have advanced engineering and technical services skills and who work well with our customers. These employees are in great demand and are likely to remain a limited resource in the foreseeable future. The current tight labor market has adversely impacted our ability to recruit qualified personnel, including engineers. Increased restrictions on the import or retention of foreign labor may also increase demand for engineering personnel and adversely impact our ability to hire and retain qualified personnel. Further, significant amounts of time and resources are required to train technical, sales, and other personnel, and we may lose new employees to our competitors or other companies before we realize the benefit of our investment in recruiting and training them.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Furthermore, the relationships and reputation that our CEO and other members of our senior management team have established and maintain with U.S. government agencies and personnel contribute to our ability to maintain strong customer relationships and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identify new business opportunities. The loss of any member of our senior management could impair our ability to identify and secure new contracts, to maintain good customer relations, and to otherwise manage our business.</w:t>
      </w:r>
    </w:p>
    <w:p>
      <w:pPr>
        <w:pStyle w:val="TextBody"/>
        <w:bidi w:val="0"/>
        <w:spacing w:before="200" w:after="283"/>
        <w:jc w:val="both"/>
        <w:rPr>
          <w:rFonts w:ascii="Times New Roman" w:hAnsi="Times New Roman"/>
          <w:sz w:val="20"/>
        </w:rPr>
      </w:pPr>
      <w:r>
        <w:rPr>
          <w:rFonts w:ascii="Times New Roman" w:hAnsi="Times New Roman"/>
          <w:b/>
          <w:i/>
          <w:color w:val="000000"/>
          <w:sz w:val="20"/>
        </w:rPr>
        <w:t>Misconduct of employees, subcontractors, agents, suppliers, business partners, or joint ventures and others working on our behalf could cause us to</w:t>
      </w:r>
      <w:r>
        <w:rPr>
          <w:rFonts w:ascii="Times New Roman" w:hAnsi="Times New Roman"/>
          <w:color w:val="000000"/>
          <w:sz w:val="20"/>
        </w:rPr>
        <w:t xml:space="preserve"> </w:t>
      </w:r>
      <w:r>
        <w:rPr>
          <w:rFonts w:ascii="Times New Roman" w:hAnsi="Times New Roman"/>
          <w:b/>
          <w:i/>
          <w:color w:val="000000"/>
          <w:sz w:val="20"/>
        </w:rPr>
        <w:t>lose existing contracts or customers and adversely affect our ability to obtain new contracts and customers and could have a material adverse impact</w:t>
      </w:r>
      <w:r>
        <w:rPr>
          <w:rFonts w:ascii="Times New Roman" w:hAnsi="Times New Roman"/>
          <w:color w:val="000000"/>
          <w:sz w:val="20"/>
        </w:rPr>
        <w:t xml:space="preserve"> </w:t>
      </w:r>
      <w:r>
        <w:rPr>
          <w:rFonts w:ascii="Times New Roman" w:hAnsi="Times New Roman"/>
          <w:b/>
          <w:i/>
          <w:color w:val="000000"/>
          <w:sz w:val="20"/>
        </w:rPr>
        <w:t>on our reputation, business, 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employees, subcontractors, agents, suppliers, business partners, joint ventures or others working on our behalf may engage in misconduct that could adversely impact our business including by committing fraud or engaging other improper activities such as falsifying time or other records, and violating laws and failing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Although we have implemented policies, procedures, training, and other compliance controls to prevent and detect these activities, these precautions may not prevent all misconduct, and as a result, we could face unknown risks or losses. This risk of improper conduct may increase as we continue to expand and do business with new partners. In the ordinary course of our business, we form and are members of joint ventures (meaning joint efforts or business arrangements of any type). Our failure to comply with applicable laws or regulations could damage our reputation and subject us to administrative, civil, or criminal investigations and enforcement actions, fines, and penalties, restitution or other damages including civil False Claims Act allegations (which can include civil penalties and treble damages), loss of security clearance, loss of current and future customer contracts, loss of privileges and other sanctions, including suspension or debarment from contracting with federal, state, or local government agencies, any of which would materially adversely affect our reputation,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00000"/>
          <w:sz w:val="20"/>
        </w:rPr>
        <w:t>Changes in our accounting estimates and assumptions could negatively affect our financial position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revenue recognition, business acquisitions, recoverability of assets, valuation of derivatives and nonredeemable non-controlling interests, valuation of goodwill and intangible assets, contingencies, stock-based compensation, and income taxes. We base our estimates on historical experience and various assumptions that we believe to be reasonable based on specific circumstances. In particular, estimating our contract revenues requires judgments relative to assessing risks, including risks associated with estimating contract transaction prices and costs,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include expected increases in wages and prices for materials; we also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There are many reasons estimated contract costs can increase, including inflation, labor challenges, supply chain challenges, and market volatility; delays or limitations in customer funding; design or other development challenges; production challenges (including from technical or quality issues and other performance concerns); inability to realize learning curves or other cost savings; changes in laws or regulations; actions necessary for long-term customer satisfaction; and natural disasters or environmental matters. Fixed-price contracts inherently tend to have more financial risk than cost-type contracts, including as a result of inflationary pressures, labor rates and shortages, challenges in estimating contract revenues and costs, and supplier challenges, some of which we may be particularly exposed to given the nature of our business. While management uses its best judgment to estimate costs associated with fixed-price contracts, future events can result in significant adjustments. These assumptions and estimates involve the exercise of a significant amount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 In addition, we sometimes receive advanced payments and billings in excess of the amount of revenue we recognize, which we record as deferred revenue. As a result, our cash flows may be subject to fluctuation across periods in a manner that may be unrelated to our underlying performance. </w:t>
      </w:r>
    </w:p>
    <w:p>
      <w:pPr>
        <w:pStyle w:val="TextBody"/>
        <w:bidi w:val="0"/>
        <w:spacing w:before="200" w:after="283"/>
        <w:jc w:val="both"/>
        <w:rPr>
          <w:rFonts w:ascii="Times New Roman" w:hAnsi="Times New Roman"/>
          <w:sz w:val="20"/>
        </w:rPr>
      </w:pPr>
      <w:r>
        <w:rPr>
          <w:rFonts w:ascii="Times New Roman" w:hAnsi="Times New Roman"/>
          <w:b/>
          <w:i/>
          <w:color w:val="000000"/>
          <w:sz w:val="20"/>
        </w:rPr>
        <w:t>We often rely on a single vendor or a limited number of vendors to provide certain key products or services and the inability of these key vendors to</w:t>
      </w:r>
      <w:r>
        <w:rPr>
          <w:rFonts w:ascii="Times New Roman" w:hAnsi="Times New Roman"/>
          <w:color w:val="000000"/>
          <w:sz w:val="20"/>
        </w:rPr>
        <w:t xml:space="preserve"> </w:t>
      </w:r>
      <w:r>
        <w:rPr>
          <w:rFonts w:ascii="Times New Roman" w:hAnsi="Times New Roman"/>
          <w:b/>
          <w:i/>
          <w:color w:val="000000"/>
          <w:sz w:val="20"/>
        </w:rPr>
        <w:t>meet our needs could have a material adverse effect on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contract with a single vendor or a limited number of vendors to provide certain key products or services, such as composite prepegs, spin forming of engine chambers, and chamber electroplating. In addition, our manufacturing operations depend on specific technologies and companies for which there may be a limited number of vendors. If these vendors are unable to meet our needs because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they fail to perform adequately, are unable to match new technological requirements or problems, or are unable to dedicate engineering and other resources necessary to provide the services contracted for, our business, financial condition, and results of operations may be adversely affected. While alternative sources for these products, services, and technologies may exist or develop in the future, including through foreign vendors, we may not be able to develop these alternative sources quickly and cost-effectively, which could materially impair our ability to operate our business. Furthermore, our current or future vendors may request changes in pricing, payment terms, or other contractual obligations, which could cause us to make substantial additional investments. Additionally, certain of our suppliers’ employees are represented by labor unions, and any labor union actions at our suppliers may also affect us. Work stoppages and instability in our relationships with labor unions could delay the production and/or development of our products, which could strain relationships with customers and cause a loss of revenues which would adversely affect our operations. </w:t>
      </w:r>
    </w:p>
    <w:p>
      <w:pPr>
        <w:pStyle w:val="TextBody"/>
        <w:bidi w:val="0"/>
        <w:spacing w:before="200" w:after="283"/>
        <w:jc w:val="both"/>
        <w:rPr>
          <w:rFonts w:ascii="Times New Roman" w:hAnsi="Times New Roman"/>
          <w:sz w:val="20"/>
        </w:rPr>
      </w:pPr>
      <w:r>
        <w:rPr>
          <w:rFonts w:ascii="Times New Roman" w:hAnsi="Times New Roman"/>
          <w:b/>
          <w:i/>
          <w:color w:val="000000"/>
          <w:sz w:val="20"/>
        </w:rPr>
        <w:t>We face significant competition.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operate in the highly competitive global space industry, which has been more competitive recently, given the increased focus of the U.S. presidential administration on human missions to space. Competitors across our launch, land, and orbit businesses range in size from divisions of large public corporations to small, privately held entities. We face intense competition in the global space market. In addition, we are aware of a significant number of competitors actively engaged in developing commercial launch capabilities for small and medium sized payloads in the U.S. and globally. Many of our current and potential competitors are larger and have substantially greater financial or other resources than we currently have or expect to have in the future, and thus may be better positioned to exploit the market need for spacecraft propulsion systems and launch services for small and medium sized payloads with targeted orbital delivery, which is one primary focus of our launch business. Further, our recent acquisition of SciTec exposes us to new competitive risks related to the security software and data industry. The market is fragmented and highly competitive, often requiring a competitive bidding process to be awarded contracts. The industry is also constantly evolving, with a wide range of established and emerging defense software and services vendors, as well as organizations, that choose to build their own solutions in-house, including the U.S. government utilizing their own capabilities.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compete depends on high product performance, consistent high quality, short lead time and timely delivery, competitive pricing, superior customer service and support, and continued certification under customer quality requirements and assurance programs. Our competitors may also be able to devote greater resources to the development of their current and future technologies, which could overlap with our technologies, or the promotion and sale of their products and services. Our competitors could offer products and services at lower prices, which could undercut our business strategy and potential competitive edge. Our current and potential competitors may also establish cooperative or strategic relationships amongst themselves or with third parties that may further enhance their resources and offerings relative to ours, and may reduce the size of our addressable market. Further, it is possible that domestic or foreign companies or governments, some with greater experience in the aerospace industry or greater financial resources than we possess, will seek to provide products or services that compete directly or indirectly with ours in the future. Any such foreign competitor could benefit from subsidies from, or other protective measures by, its home country. We believe our ability to compete successfully as a provider of comprehensive space mission solutions does and will depend on number of factors, which may change in the future due to increased competition, including the price of our products and services, customer satisfaction for the experiences we offer, and the frequency and availability of our products and services. If we encounter difficulties in scaling our production capabilities, if we fail to develop and successfully commercialize our launch systems, landers, orbital vehicles, and related technologies, if we fail to develop such technologies before our competitors, or if such technologies fail to perform as expected, are inferior to those of our competitors or are perceived as less safe than those of our competitors, our business, financial condition, and results of operations could be materially and adversely impacted. </w:t>
      </w:r>
    </w:p>
    <w:p>
      <w:pPr>
        <w:pStyle w:val="TextBody"/>
        <w:bidi w:val="0"/>
        <w:spacing w:before="200" w:after="283"/>
        <w:jc w:val="both"/>
        <w:rPr>
          <w:rFonts w:ascii="Times New Roman" w:hAnsi="Times New Roman"/>
          <w:sz w:val="20"/>
        </w:rPr>
      </w:pPr>
      <w:r>
        <w:rPr>
          <w:rFonts w:ascii="Times New Roman" w:hAnsi="Times New Roman"/>
          <w:b/>
          <w:i/>
          <w:color w:val="000000"/>
          <w:sz w:val="20"/>
        </w:rPr>
        <w:t>Any inability to operate Alpha at our anticipated launch rate could adversely impact our business, 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launch services business is currently dependent to a significant extent on Alpha. To be successful, we will need to maintain a sufficient launch rate, which will be negatively impacted if we are not able to operate Alpha for any reason, including not being granted appropriate government clearance after a launch failure. We may be unable to operate Alpha at our anticipated launch rate for a number of reasons, including, but not limited to, production delays or failures, design and engineering flaws, launch failures, natural disasters, epidemics or pandemics, changes in governmental regulations or in the status of our regulatory approvals or applications, customer delays or cancellations, or other events that force us to cancel or reschedule launches. </w:t>
      </w:r>
    </w:p>
    <w:p>
      <w:pPr>
        <w:pStyle w:val="TextBody"/>
        <w:bidi w:val="0"/>
        <w:spacing w:before="200" w:after="283"/>
        <w:jc w:val="both"/>
        <w:rPr>
          <w:rFonts w:ascii="Times New Roman" w:hAnsi="Times New Roman"/>
          <w:sz w:val="20"/>
        </w:rPr>
      </w:pPr>
      <w:r>
        <w:rPr>
          <w:rFonts w:ascii="Times New Roman" w:hAnsi="Times New Roman"/>
          <w:b/>
          <w:i/>
          <w:color w:val="000000"/>
          <w:sz w:val="20"/>
        </w:rPr>
        <w:t>Any inability to finalize the development and delivery of Eclipse could adversely impact our business, 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an exclusive partnership with Northrop Grumman to develop Eclipse. The success of the development and delivery of Eclipse is dependent on our combined performance with Northrop Grumman. If Northrop Grumman prioritizes the development of other products, fails to devote sufficient resources to the development of Eclipse, or does not have agile processes in place for the design, development, integration, and testing of launch operations, we may be unable to introduce Eclipse to the market, which could have 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adverse impact on our business and projected growth. Furthermore, the ability of Eclipse to go to market may be impacted if Northrop Grumman is unable to approve internal or other governmental and commercial bids. </w:t>
      </w:r>
    </w:p>
    <w:p>
      <w:pPr>
        <w:pStyle w:val="TextBody"/>
        <w:bidi w:val="0"/>
        <w:spacing w:before="200" w:after="283"/>
        <w:jc w:val="both"/>
        <w:rPr>
          <w:rFonts w:ascii="Times New Roman" w:hAnsi="Times New Roman"/>
          <w:sz w:val="20"/>
        </w:rPr>
      </w:pPr>
      <w:r>
        <w:rPr>
          <w:rFonts w:ascii="Times New Roman" w:hAnsi="Times New Roman"/>
          <w:b/>
          <w:i/>
          <w:color w:val="000000"/>
          <w:sz w:val="20"/>
        </w:rPr>
        <w:t>We may need to invest in new information technology systems and infrastructure to scale our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markets in which we operate are characterized by changing technology and evolving industry standards, and accordingly we may need to adopt new information technology systems and infrastructure to scale our business and obtain the synergies from prior and future acquisitions. Our information technology and business systems and infrastructure could create product development or production work stoppages, unnecessarily increase our inventory, negatively impact product delivery times and quality, and increase our compliance costs. Failure to invest in newer information technology and business systems and infrastructure (including when certain software applications become obsolete or are no longer used in our business) may lead to operational inefficiencies and increased compliance costs and risks. In addition, an inability to maximize the utility and benefit of our current information technology and business tools could impact our ability to meet cost reduction and planned efficiency and operational improvement goals. Furthermore, operational inefficiencies may occur and our business may be impacted if certain of our software applications are no longer usable, including due to the foreign acquisition of such applications. As we implement new systems or integrate existing systems, they may not perform as expected. An inability to maximize the utility and benefit of our current information technology and business tools could impact our ability to meet cost reduction and planned efficiency and operational improvement goals. Moreover, our competitors may develop technology systems and infrastructure that better meets the needs of our customers. If we do not continue to develop, manufacture, and market innovative technologies or infrastructure that meet customers’ requirements or expectations,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w:t>
      </w:r>
    </w:p>
    <w:p>
      <w:pPr>
        <w:pStyle w:val="TextBody"/>
        <w:bidi w:val="0"/>
        <w:spacing w:before="200" w:after="283"/>
        <w:jc w:val="both"/>
        <w:rPr>
          <w:rFonts w:ascii="Times New Roman" w:hAnsi="Times New Roman"/>
          <w:sz w:val="20"/>
        </w:rPr>
      </w:pPr>
      <w:r>
        <w:rPr>
          <w:rFonts w:ascii="Times New Roman" w:hAnsi="Times New Roman"/>
          <w:b/>
          <w:i/>
          <w:color w:val="000000"/>
          <w:sz w:val="20"/>
        </w:rPr>
        <w:t>Tariffs on certain imports to the United States and other potential changes to U.S. tariff and import/export regulations could have a material adverse</w:t>
      </w:r>
      <w:r>
        <w:rPr>
          <w:rFonts w:ascii="Times New Roman" w:hAnsi="Times New Roman"/>
          <w:color w:val="000000"/>
          <w:sz w:val="20"/>
        </w:rPr>
        <w:t xml:space="preserve"> </w:t>
      </w:r>
      <w:r>
        <w:rPr>
          <w:rFonts w:ascii="Times New Roman" w:hAnsi="Times New Roman"/>
          <w:b/>
          <w:i/>
          <w:color w:val="000000"/>
          <w:sz w:val="20"/>
        </w:rPr>
        <w:t>effect on global economic conditions and our business, 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subject to tariffs on certain imports into the United States. Since early 2025, the U.S. administration announced the imposition of tariffs on substantially all countries that trade with the United States. As the implementation of tariffs is ongoing, more tariffs may be added in the future and countermeasures may be adopted by other countries. In addition, any additional tariffs imposed by the U.S. presidential administration or retaliatory tariffs announced by other countries could result in a trade war, lead to market disruptions, including significant volatility in commodity prices, credit, and capital markets, as well as supply chain interruptions for equipment. These tariffs could adversely impact our business, financial condition, and results of operations, and if we are unable to pass such price increases through to our customers, it would likely increase our cost of sales and, as a result, decrease our gross margins, operating income, and net income. </w:t>
      </w:r>
    </w:p>
    <w:p>
      <w:pPr>
        <w:pStyle w:val="TextBody"/>
        <w:bidi w:val="0"/>
        <w:spacing w:before="200" w:after="283"/>
        <w:jc w:val="both"/>
        <w:rPr>
          <w:rFonts w:ascii="Times New Roman" w:hAnsi="Times New Roman"/>
          <w:sz w:val="20"/>
        </w:rPr>
      </w:pPr>
      <w:r>
        <w:rPr>
          <w:rFonts w:ascii="Times New Roman" w:hAnsi="Times New Roman"/>
          <w:b/>
          <w:i/>
          <w:color w:val="000000"/>
          <w:sz w:val="20"/>
        </w:rPr>
        <w:t>Interruption or failure of our infrastructure could hurt our ability to effectively perform our daily operations and provide and produce our products</w:t>
      </w:r>
      <w:r>
        <w:rPr>
          <w:rFonts w:ascii="Times New Roman" w:hAnsi="Times New Roman"/>
          <w:color w:val="000000"/>
          <w:sz w:val="20"/>
        </w:rPr>
        <w:t xml:space="preserve"> </w:t>
      </w:r>
      <w:r>
        <w:rPr>
          <w:rFonts w:ascii="Times New Roman" w:hAnsi="Times New Roman"/>
          <w:b/>
          <w:i/>
          <w:color w:val="000000"/>
          <w:sz w:val="20"/>
        </w:rPr>
        <w:t>and services, which could damage our reputation and harm our operating results.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vulnerable to natural disasters and significant disruptions including tsunamis, hurricanes, floods, earthquakes, fires, water shortages, other extreme weather conditions, epidemics, or pandemics, acts of terrorism, power shortages and blackouts, aging infrastructures, telecommunications failures, and disruptive political events. In the event of such a natural disaster or other disruption, we could experience: disruptions to our operations or the operations of suppliers, subcontractors, distributors, or customers; destruction of facilities; loss of life; and/or damage or disruption to our employee’s homes and/or their ability to commute to our facilities. The availability of many of our products and services depends on the continuing operation of our information technology and communications systems. Any downtime, damage to, or failure of our systems could result in interruptions in our operations and services, which could reduce our revenue and profits. Our systems are vulnerable to damage or interruption from extreme weather events, fires, power loss, aging infrastructure, telecommunications failures, computer viruses, computer denial of service attacks, and other attempts to harm our systems. Our manufacturing facilities are also subject to risks associated with an aging infrastructure. An infrastructure failure could result in the destruction of launch vehicles, spacecraft, and related components being manufactured or in inventory, manufacturing delays, or additional costs. Terrorist attacks, actual or threatened acts of war or the escalation of current hostilities, or any other military or trade disruptions impacting our suppliers of components of our products, may impact our operations by, among other things, causing supply chain disruptions and increases in commodity prices, which could adversely affect our raw materials or transportation costs. In addition, because we participate in the defense and national security industries, we could ourselves become the target of such an attack or disruption. Such events also could impact one or more of our suppliers or contractors or result in the closure of any of their facilities or our facilities, which would make it difficult to continue our commercial launch activities as planned or thereafter increase our launch cadence or may also delay our customers’ plans to launch their payloads. Generally, the disaster recovery and business continuity plans we have in place currently are limited and may prove inadequate in the event of a serious disaster or similar event, particularly as the majority of our operations and employees are concentrated within a 25-mile radius encompassing our Cedar Park and Briggs, Texas facilities. We do not maintain back-up manufacturing facilities or operations. The occurrence of any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foregoing could result in lengthy interruptions in our operations and services and/or damage our reputation, which could have a material adverse effect on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00000"/>
          <w:sz w:val="20"/>
        </w:rPr>
        <w:t>Our operating results may fluctuate significantly, which makes forecasting our future operating results difficult and could cause our operating results to fall below expectations or any guidance we may provide.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launch missions or cislunar services (including on-orbit transfers, hosting, delivery, and servicing) we schedule for a period, the price at which we sell them and our ability to schedule additional launch missions for repeat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shift in receiving milestone payments for our launch or spacecraft solutions and services (including as a result of one of our customers exercising its delay right pursuant to its contractual arrangement with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raw materials or supplied components critical for the manufacture and operation of space products or launch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and level of investment in, R&amp;D relating to our technologies and our current or future facilities, including as a result of changes in government spending;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involving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governmental regulations or in the status of our regulatory approval or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accounting pronouncements or changes in our accounting policies;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market conditions and other factors, including factors unrelated to our operating performance or the operating performance of our competitors.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individual or cumulative effects of factors discussed above could result in large fluctuations and unpredictability in our quarterly and annual operating results. As a result, comparing our operating results on a period-to-period basis may not be meaningful. Further,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rapidly evolving market in which we operate may make it difficult to evaluate our current business and our future prospects, including our ability to plan for and model future growth. The principal reason that we may release this data is to provide a basis for our management to discuss our business outlook with analysts and investors. We do not accept any responsibility for any projections or reports published by any such persons. Guidance is necessarily speculative in nature, and it can be expected that some or all of the assumptions of the guidance furnished by us will not materialize or will vary significantly from actual results, particularly any guidance relating to the results of operations of acquired businesses or companies as our management will be less familiar with their business, procedures, and operations.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before="200" w:after="283"/>
        <w:jc w:val="both"/>
        <w:rPr>
          <w:rFonts w:ascii="Times New Roman" w:hAnsi="Times New Roman"/>
          <w:sz w:val="20"/>
        </w:rPr>
      </w:pPr>
      <w:r>
        <w:rPr>
          <w:rFonts w:ascii="Times New Roman" w:hAnsi="Times New Roman"/>
          <w:b/>
          <w:i/>
          <w:color w:val="010302"/>
          <w:sz w:val="20"/>
        </w:rPr>
        <w:t>Our customers’ inability to obtain financing for their purchases from us and/or their inability to obtain financing to maintain their business could</w:t>
      </w:r>
      <w:r>
        <w:rPr>
          <w:rFonts w:ascii="Times New Roman" w:hAnsi="Times New Roman"/>
          <w:color w:val="010302"/>
          <w:sz w:val="20"/>
        </w:rPr>
        <w:t xml:space="preserve"> </w:t>
      </w:r>
      <w:r>
        <w:rPr>
          <w:rFonts w:ascii="Times New Roman" w:hAnsi="Times New Roman"/>
          <w:b/>
          <w:i/>
          <w:color w:val="010302"/>
          <w:sz w:val="20"/>
        </w:rPr>
        <w:t>have a material adverse effect on our business.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Some of our customers may require substantial financing to fund their operations and make purchases from us. The inability of these customers to obtain sufficient credit to finance purchases of our products, including the ability of our government customers to receive adequate funding for new and current programs, or otherwise meet their payment obligations to us could adversely impact our financial condition and results of operations. In addition, if a market downturn results in insolvencies for our customers, it could materially adversely impact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Our business involves significant risks and uncertainties that may not be covered by insurance. Also, due to the inherent risks associated with</w:t>
      </w:r>
      <w:r>
        <w:rPr>
          <w:rFonts w:ascii="Times New Roman" w:hAnsi="Times New Roman"/>
          <w:color w:val="010302"/>
          <w:sz w:val="20"/>
        </w:rPr>
        <w:t xml:space="preserve"> </w:t>
      </w:r>
      <w:r>
        <w:rPr>
          <w:rFonts w:ascii="Times New Roman" w:hAnsi="Times New Roman"/>
          <w:b/>
          <w:i/>
          <w:color w:val="010302"/>
          <w:sz w:val="20"/>
        </w:rPr>
        <w:t>commercial spaceflight, there is the possibility that any accident or catastrophe could lead to the loss of human life or a medical emergency.</w:t>
      </w:r>
      <w:r>
        <w:rPr>
          <w:rFonts w:ascii="Times New Roman" w:hAnsi="Times New Roman"/>
          <w:color w:val="010302"/>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Although there have been and will continue to be technological advances in spaceflight, it is still an inherently dangerous activity. Explosions and other accidents on launch or during the flight have occurred and will likely occur in the future. If such incident should occur, we will likely experience a total loss of our systems, products, technologies and services, and our payloads and payloads of our customers. The total or partial loss of one or more of our products or payloads could have a material adverse effect on our reputation, business, financial condition, and results of operations. For some missions, we can elect to buy launch insurance, which can reduce our monetary losses from the launch failure, but even in this case we will have losses associated with our inability to test our technology in space and delays with further technology development. Further, commercial spaceflight is an inherently risky activity that can lead to accidents or catastrophes impacting human life. It is impossible to completely eliminate the potential for human or other error, and there is a possibility that other accidents may occur in the future as a result of human error or for a variety of other reasons, some of which may be out of our control. Any such accident could result in substantial losses to us, including reputational harm and legal liability, and, as a result, could have a material adverse effect on our business, financial condition, and results of operations.</w:t>
      </w:r>
    </w:p>
    <w:p>
      <w:pPr>
        <w:pStyle w:val="TextBody"/>
        <w:bidi w:val="0"/>
        <w:spacing w:before="200" w:after="283"/>
        <w:jc w:val="both"/>
        <w:rPr>
          <w:rFonts w:ascii="Times New Roman" w:hAnsi="Times New Roman"/>
          <w:sz w:val="20"/>
        </w:rPr>
      </w:pPr>
      <w:r>
        <w:rPr>
          <w:rFonts w:ascii="Times New Roman" w:hAnsi="Times New Roman"/>
          <w:b/>
          <w:i/>
          <w:color w:val="010302"/>
          <w:sz w:val="20"/>
        </w:rPr>
        <w:t>We routinely conduct hazardous operations in manufacturing, test, and launch of our launch systems, space products and various subsystems,</w:t>
      </w:r>
      <w:r>
        <w:rPr>
          <w:rFonts w:ascii="Times New Roman" w:hAnsi="Times New Roman"/>
          <w:color w:val="010302"/>
          <w:sz w:val="20"/>
        </w:rPr>
        <w:t xml:space="preserve"> </w:t>
      </w:r>
      <w:r>
        <w:rPr>
          <w:rFonts w:ascii="Times New Roman" w:hAnsi="Times New Roman"/>
          <w:b/>
          <w:i/>
          <w:color w:val="010302"/>
          <w:sz w:val="20"/>
        </w:rPr>
        <w:t>which could result in damage to property or persons. The release, unplanned ignition, explosion, or improper handling of dangerous materials used</w:t>
      </w:r>
      <w:r>
        <w:rPr>
          <w:rFonts w:ascii="Times New Roman" w:hAnsi="Times New Roman"/>
          <w:color w:val="010302"/>
          <w:sz w:val="20"/>
        </w:rPr>
        <w:t xml:space="preserve"> </w:t>
      </w:r>
      <w:r>
        <w:rPr>
          <w:rFonts w:ascii="Times New Roman" w:hAnsi="Times New Roman"/>
          <w:b/>
          <w:i/>
          <w:color w:val="010302"/>
          <w:sz w:val="20"/>
        </w:rPr>
        <w:t>in our business could disrupt our operations and adversely affect our financial results.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manufacture, test, and operate highly sophisticated launch systems and Space Products and we conduct launch activities that depend on complex technology. Although there have been, and will continue to be, technological advances in spaceflight, our operations remain an inherently hazardous and risky activity. Our business operations involve the handling, production, and disposition of potentially explosive and ignitable energetic materials, and other dangerous chemicals, including materials used in rocket propulsion. The handling, production, transport, and disposition of hazardous materials could result in incidents that temporarily shut down or otherwise disrupt our manufacturing operations and could cause production delays. A release of these chemicals or an unplanned ignition or explosion could result in death or significant injuries to employees and others. Material property damage to us and third parties could also occur. Extensive regulations apply to the handling of explosive and energetic materials, including but not limited to regulations governing hazardous substances and hazardous waste. The failure to properly store and ultimately dispose of such materials could create significant liability and/or result in regulatory sanctions. While we have built operational processes designed to ensure that the design, manufacture, performance, and servicing of our spacecraft meet rigorous quality standards, there can be no assurance that we will not experience operational or process issues that could result in potential safety risks. Any actual or perceived safety or reliability issues may result in significant reputational harm to our businesses, in addition to tort liability, maintenance, increased safety infrastructure, and other costs that may arise. Such issues could result in canceled contracts, delaying or canceling planned launches, increased regulation, or other systemic consequences. Our inability to meet our safety standards or adverse publicity affecting our reputation as a result of accidents, mechanical failures, damages to customer property, or other complications could have a material adverse effect on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We are subject to many hazards and operational risks that can disrupt our business, including interruptions or disruptions in service at our corporate headquarters and Hive spacecraft facility in Cedar</w:t>
      </w:r>
      <w:r>
        <w:rPr>
          <w:rFonts w:ascii="Times New Roman" w:hAnsi="Times New Roman"/>
          <w:color w:val="010302"/>
          <w:sz w:val="20"/>
        </w:rPr>
        <w:t xml:space="preserve"> </w:t>
      </w:r>
      <w:r>
        <w:rPr>
          <w:rFonts w:ascii="Times New Roman" w:hAnsi="Times New Roman"/>
          <w:b/>
          <w:i/>
          <w:color w:val="010302"/>
          <w:sz w:val="20"/>
        </w:rPr>
        <w:t>Park, Texas and our Rocket Ranch manufacturing and testing site in Briggs, Texas, which could have a material adverse effect on our business, financial condition, and results of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Our operations are subject to many hazards and operational risks inherent to our business, including general business risks, product liability and damage to third parties, our infrastructure or properties that may be caused by fires, floods and other natural disasters, power losses, telecommunications failures, terrorist attacks, human errors, epidemics and pandemics, and other similar health crises and similar events. Additionally, our manufacturing operations are hazardous at times and may expose us to safety risks, including environmental risks and health and safety hazards to our employees or third parties. At our facilities, particularly our Hive spacecraft facility in Cedar Park, our Rocket Ranch manufacturing and testing site in Briggs, Texas where the majority of our manufacturing and other operations are concentrated, and SciTec's primary facilities in Colorado and New Jersey, any significant interruption due to any of the above hazards, or from weather conditions, growth constraints, performance by third-party providers (such as electric, utility, or telecommunications providers), failure to properly handle and use hazardous materials, failure of computer systems, power supplies, fuel supplies, infrastructure damage, disagreements with the owners of the land on which our facilities are located, or damage sustained to our runway could result in operational delays or the delay or cancellation of our contracts and, as a result, could have a material adverse effect on our business, financial condition, and results of operations. Moreover, our insurance coverage may be inadequate to cover our liabilities related to such hazards or operational risks. In addition, we may not be able to maintain adequate insurance in the future at rates we consider reasonable and commercially justifiable, and insurance may not continue to be available on terms as favorable as our current arrangements. The occurrence of a significant uninsured claim, or a claim in excess of the insurance coverage limits maintained by us, could harm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Our insurance, customer indemnifications, or other liability protections may be insufficient to protect us from product and other liability claims or</w:t>
      </w:r>
      <w:r>
        <w:rPr>
          <w:rFonts w:ascii="Times New Roman" w:hAnsi="Times New Roman"/>
          <w:color w:val="010302"/>
          <w:sz w:val="20"/>
        </w:rPr>
        <w:t xml:space="preserve"> </w:t>
      </w:r>
      <w:r>
        <w:rPr>
          <w:rFonts w:ascii="Times New Roman" w:hAnsi="Times New Roman"/>
          <w:b/>
          <w:i/>
          <w:color w:val="010302"/>
          <w:sz w:val="20"/>
        </w:rPr>
        <w:t>losses.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maintain insurance coverage with third-party insurers as part of our overall risk management strategy and because some of our contracts require us to maintain specific insurance coverage limits. Not every risk or liability is or can be protected by insurance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given we may incur liabilities that are unique to our products and services, and for those risks we insure, the limits of coverage that are reasonably obtainable may not be sufficient to cover all actual losses or liabilities incurred. We are limited in the amount of insurance we can obtain to cover certain risks, such as cybersecurity risks and natural hazards, including earthquakes, fires, and extreme weather conditions, some of which can be worsened by climate change and pandemics. If any of our third-party insurers fail, become insolvent, cancel our coverage or otherwise are unable to provide us with adequate insurance coverage or renew our insurance coverage on favorable terms, then our overall risk exposure and our operational expenses would increase, and the management of our business operations would be disrupted. Our insurance may be insufficient to protect us from significant product and other liability claims or losses. Moreover, there is a risk that commercially available liability insurance will not continue to be available to us at a reasonable cost, if at all. In some circumstances, we are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 For example, although the U.S. government may pay claims for third-party damages to the extent they exceed our insurance coverage, this depends on a government appropriation and is subject to a statutory limit. In addition, this insurance will not protect us against our own losses, including to our launch vehicle, launch complex and spacecraft. If liability claims or losses exceed our current or available insurance coverage, customer indemnifications, or other legal protections, our business, financial condition, and results of operations could have a material adverse effect on us. Any significant claim may have a material adverse effect on our industry and market reputation, leading to a substantial decrease in demand for our products and services and reduced revenues, making it more difficult for us to compete effectively, and could affect the cost and availability of insurance coverage at adequate levels in the future.</w:t>
      </w:r>
    </w:p>
    <w:p>
      <w:pPr>
        <w:pStyle w:val="TextBody"/>
        <w:bidi w:val="0"/>
        <w:spacing w:before="200" w:after="283"/>
        <w:jc w:val="both"/>
        <w:rPr>
          <w:rFonts w:ascii="Times New Roman" w:hAnsi="Times New Roman"/>
          <w:sz w:val="20"/>
        </w:rPr>
      </w:pPr>
      <w:r>
        <w:rPr>
          <w:rFonts w:ascii="Times New Roman" w:hAnsi="Times New Roman"/>
          <w:b/>
          <w:i/>
          <w:color w:val="010302"/>
          <w:sz w:val="20"/>
        </w:rPr>
        <w:t>A significant portion of our management team has limited experience managing a public company.</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status as a newly public company which subjects us to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our business, which could harm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Adverse publicity stemming from any incident involving us, our competitors, or our customers could have a material adverse effect on our business,</w:t>
      </w:r>
      <w:r>
        <w:rPr>
          <w:rFonts w:ascii="Times New Roman" w:hAnsi="Times New Roman"/>
          <w:color w:val="010302"/>
          <w:sz w:val="20"/>
        </w:rPr>
        <w:t xml:space="preserve"> </w:t>
      </w:r>
      <w:r>
        <w:rPr>
          <w:rFonts w:ascii="Times New Roman" w:hAnsi="Times New Roman"/>
          <w:b/>
          <w:i/>
          <w:color w:val="010302"/>
          <w:sz w:val="20"/>
        </w:rPr>
        <w:t>financial condition, and results of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10302"/>
          <w:sz w:val="20"/>
        </w:rPr>
        <w:t>To continue to be successful, we must continue to preserve, grow, and capitalize on the value of our brand in the marketplace. We have previously been and continue to be at risk of adverse publicity stemming from any public incident involving our company, our people, or our brand, or our competitors or customers. F</w:t>
      </w:r>
      <w:r>
        <w:rPr>
          <w:rFonts w:ascii="Times New Roman" w:hAnsi="Times New Roman"/>
          <w:color w:val="000000"/>
          <w:sz w:val="20"/>
        </w:rPr>
        <w:t>or example, in December 2023, our Fly the Lightning mission did not obtain the specified target orbit and a number of media outlets reported on the mission. On September 29, 2025, during testing at Firefly’s facility in Briggs, Texas, the first stage of Firefly’s Alpha Flight 7 rocket experienced an event that resulted in damage to the test stand. This event also received media attention. In the future, if our launch vehicles or space products, those of one of our competitors, or satellites of our customers were to be involved in a public incident, accident, or catastrophe, this could create an adverse public perception of launch or manufacturing activitie</w:t>
      </w:r>
      <w:r>
        <w:rPr>
          <w:rFonts w:ascii="Times New Roman" w:hAnsi="Times New Roman"/>
          <w:color w:val="010302"/>
          <w:sz w:val="20"/>
        </w:rPr>
        <w:t xml:space="preserve">s and result in decreased customer demand for launch and space products, which could cause a material adverse effect on our business, financial condition, and results of operations. Even an isolated incident or the aggregate effect of individually insignificant incidents, can erode trust and confidence, particularly if such incident or incidents result in adverse publicity, governmental investigations, or litigation. Further, if our launch vehicles or rockets were to be involved in a public incident, accident, or catastrophe, we could be exposed to significant reputational harm or potential legal liability. Any reputational harm to our business or industry could tarnish our brand or cause customers with existing contracts with us to cancel their contracts, and lead to a material adverse effect on our business, and financial condition and results of operations. The insurance we carry may be inapplicable or inadequate to cover any such incident, accident, or catastrophe. In the event that our insurance is inapplicable or not adequate, we may be forced to bear substantial losses from such incident, adverse media, or accident. </w:t>
      </w:r>
    </w:p>
    <w:p>
      <w:pPr>
        <w:pStyle w:val="TextBody"/>
        <w:bidi w:val="0"/>
        <w:spacing w:before="200" w:after="283"/>
        <w:jc w:val="both"/>
        <w:rPr>
          <w:rFonts w:ascii="Times New Roman" w:hAnsi="Times New Roman"/>
          <w:sz w:val="20"/>
        </w:rPr>
      </w:pPr>
      <w:r>
        <w:rPr>
          <w:rFonts w:ascii="Times New Roman" w:hAnsi="Times New Roman"/>
          <w:b/>
          <w:i/>
          <w:color w:val="010302"/>
          <w:sz w:val="20"/>
        </w:rPr>
        <w:t>Labor-related matters, including labor disputes, may adversely affect our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None of our employees are currently represented by a union. If our employees decide to form or affiliate with a union, or if we expand into a jurisdiction with different labor laws that are more favorable to unions and works councils, we cannot predict the negative effects such future organizational activities will have on our business and operations. If we were to become subject to work stoppages, we could experience disruption in our operations, including delays in manufacturing and operations, and increases in our labor costs, which could harm our business, financial condition, and results of operations. 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 against us or regulatory proceedings being brought against us by various government agencies that regulate our business, including the U.S. Equal Employment Opportunity Commission. Often these cases raise complex factual and legal issues and create risks and uncertainties.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10302"/>
          <w:sz w:val="20"/>
        </w:rPr>
        <w:t>Efforts by the U.S. government to revise its organizational conflict of interest rules could limit our ability to successfully compete for new contracts</w:t>
      </w:r>
      <w:r>
        <w:rPr>
          <w:rFonts w:ascii="Times New Roman" w:hAnsi="Times New Roman"/>
          <w:color w:val="010302"/>
          <w:sz w:val="20"/>
        </w:rPr>
        <w:t xml:space="preserve"> </w:t>
      </w:r>
      <w:r>
        <w:rPr>
          <w:rFonts w:ascii="Times New Roman" w:hAnsi="Times New Roman"/>
          <w:b/>
          <w:i/>
          <w:color w:val="010302"/>
          <w:sz w:val="20"/>
        </w:rPr>
        <w:t>or task orders, which would materially adversely affect our business, financial condition, and results of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Efforts by the U.S. government to reform its procurement practices have focused on, among other areas,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 impaired objectivity during performance; unfair access to non-public information; or the ability to set the “ground rules” for another procurement for which the contractor competes. 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The passage of a new federal law in December 2022 requires the FAR council to provide and update definitions of each of the above types of conflicts of interest and provide illustrative examples of various relationships that contractors could have that would give rise to potential conflicts of interest. The passage of this legislation comes as this topic continues to garner increased scrutiny of such alleged conflicts among federal contractors. The resulting rule-making process, as well as continuing reform initiatives in procurement practices, may, however, result in future amendments to the FAR, increasing the restrictions in current organizational conflicts of interest regulations and rules. Similarly, organizational conflicts of interest remain an active area of bid protest litigation, increasing the likelihood that competitors may leverage such arguments in an attempt to overturn agency award decisions. To the extent that proposed and future organizational conflicts of interest laws, regulations, and rules or interpretations thereof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business, financial condition, and results of operations could be materially adversely affected. </w:t>
      </w:r>
    </w:p>
    <w:p>
      <w:pPr>
        <w:pStyle w:val="TextBody"/>
        <w:bidi w:val="0"/>
        <w:spacing w:before="200" w:after="283"/>
        <w:jc w:val="both"/>
        <w:rPr>
          <w:rFonts w:ascii="Times New Roman" w:hAnsi="Times New Roman"/>
          <w:sz w:val="20"/>
        </w:rPr>
      </w:pPr>
      <w:r>
        <w:rPr>
          <w:rFonts w:ascii="Times New Roman" w:hAnsi="Times New Roman"/>
          <w:b/>
          <w:i/>
          <w:color w:val="010302"/>
          <w:sz w:val="20"/>
        </w:rPr>
        <w:t>Our revenue, results of operations and reputation may be negatively impacted if our products contain defects or fail to operate in the expected</w:t>
      </w:r>
      <w:r>
        <w:rPr>
          <w:rFonts w:ascii="Times New Roman" w:hAnsi="Times New Roman"/>
          <w:color w:val="010302"/>
          <w:sz w:val="20"/>
        </w:rPr>
        <w:t xml:space="preserve"> </w:t>
      </w:r>
      <w:r>
        <w:rPr>
          <w:rFonts w:ascii="Times New Roman" w:hAnsi="Times New Roman"/>
          <w:b/>
          <w:i/>
          <w:color w:val="010302"/>
          <w:sz w:val="20"/>
        </w:rPr>
        <w:t>manner.</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sell complex and technologically advanced products and services, including launch services, spacecraft solutions and services and related technology and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spacecraft, and related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spacecraft, related components and systems we sell and/or use. Failure to do so could result in lost backlog and revenue and damage to our reputation and may adversely affect our ability to win new contract awards. </w:t>
      </w:r>
    </w:p>
    <w:p>
      <w:pPr>
        <w:pStyle w:val="TextBody"/>
        <w:bidi w:val="0"/>
        <w:spacing w:before="200" w:after="283"/>
        <w:jc w:val="both"/>
        <w:rPr>
          <w:rFonts w:ascii="Times New Roman" w:hAnsi="Times New Roman"/>
          <w:sz w:val="20"/>
        </w:rPr>
      </w:pPr>
      <w:r>
        <w:rPr>
          <w:rFonts w:ascii="Times New Roman" w:hAnsi="Times New Roman"/>
          <w:b/>
          <w:i/>
          <w:color w:val="010302"/>
          <w:sz w:val="20"/>
        </w:rPr>
        <w:t>If our launch vehicles and spacecraft fail to operate as intended, we may experience warranty claims for product failures, schedule delays or other</w:t>
      </w:r>
      <w:r>
        <w:rPr>
          <w:rFonts w:ascii="Times New Roman" w:hAnsi="Times New Roman"/>
          <w:color w:val="010302"/>
          <w:sz w:val="20"/>
        </w:rPr>
        <w:t xml:space="preserve"> </w:t>
      </w:r>
      <w:r>
        <w:rPr>
          <w:rFonts w:ascii="Times New Roman" w:hAnsi="Times New Roman"/>
          <w:b/>
          <w:i/>
          <w:color w:val="010302"/>
          <w:sz w:val="20"/>
        </w:rPr>
        <w:t>problems with existing or new products, which could have a material adverse effect on our business, financial condition, and results of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Many of the launch vehicles and spacecraft we develop and manufacture are technologically advanced systems that must function under demanding operating conditions. The sophisticated and rigorous design, manufacturing, and testing processes and practices we employ do not entirely prevent the risk that we may not be able to successfully launch or manufacture our products on schedule or that our products may not perform as intended, whether due to reasons attributable to us or third parties (such as technical limitations of customer payloads or our suppliers’ launch vehicles). When our products fail to perform adequately, some of our contracts require us to forfeit a portion of our expected profit, receive reduced payments, provide a replacement product or service, or reduce the price of subsequent sales to the same customer. Performance penalties may also be imposed when we fail to meet delivery schedules or other measures of contract performance. Our business partners may also cancel existing contracts, which could adversely affect our backlog, business, results of operations, and financial condition. We do not generally insure against potential costs resulting from any required remedial actions or costs or loss of sales due to postponement or cancellation of scheduled operations or product deliveries. </w:t>
      </w:r>
    </w:p>
    <w:p>
      <w:pPr>
        <w:pStyle w:val="TextBody"/>
        <w:bidi w:val="0"/>
        <w:spacing w:before="200" w:after="283"/>
        <w:jc w:val="both"/>
        <w:rPr>
          <w:rFonts w:ascii="Times New Roman" w:hAnsi="Times New Roman"/>
          <w:sz w:val="20"/>
        </w:rPr>
      </w:pPr>
      <w:r>
        <w:rPr>
          <w:rFonts w:ascii="Times New Roman" w:hAnsi="Times New Roman"/>
          <w:b/>
          <w:i/>
          <w:color w:val="010302"/>
          <w:sz w:val="20"/>
        </w:rPr>
        <w:t>If we fail to adequately protect our proprietary intellectual property rights, including our unpatented proprietary intellectual property, our</w:t>
      </w:r>
      <w:r>
        <w:rPr>
          <w:rFonts w:ascii="Times New Roman" w:hAnsi="Times New Roman"/>
          <w:color w:val="010302"/>
          <w:sz w:val="20"/>
        </w:rPr>
        <w:t xml:space="preserve"> </w:t>
      </w:r>
      <w:r>
        <w:rPr>
          <w:rFonts w:ascii="Times New Roman" w:hAnsi="Times New Roman"/>
          <w:b/>
          <w:i/>
          <w:color w:val="010302"/>
          <w:sz w:val="20"/>
        </w:rPr>
        <w:t>competitive position could be impaired and we may lose valuable assets, generate reduced revenue, and incur costly litigation to protect our rights.</w:t>
      </w:r>
      <w:r>
        <w:rPr>
          <w:rFonts w:ascii="Times New Roman" w:hAnsi="Times New Roman"/>
          <w:color w:val="010302"/>
          <w:sz w:val="20"/>
        </w:rPr>
        <w:t xml:space="preserve"> </w:t>
      </w:r>
      <w:r>
        <w:rPr>
          <w:rFonts w:ascii="Times New Roman" w:hAnsi="Times New Roman"/>
          <w:b/>
          <w:i/>
          <w:color w:val="010302"/>
          <w:sz w:val="20"/>
        </w:rPr>
        <w:t>We have granted licenses in our intellectual property to certain customers, which creates an additional risk of unauthorized use or disclosure of our</w:t>
      </w:r>
      <w:r>
        <w:rPr>
          <w:rFonts w:ascii="Times New Roman" w:hAnsi="Times New Roman"/>
          <w:color w:val="010302"/>
          <w:sz w:val="20"/>
        </w:rPr>
        <w:t xml:space="preserve"> </w:t>
      </w:r>
      <w:r>
        <w:rPr>
          <w:rFonts w:ascii="Times New Roman" w:hAnsi="Times New Roman"/>
          <w:b/>
          <w:i/>
          <w:color w:val="010302"/>
          <w:sz w:val="20"/>
        </w:rPr>
        <w:t>intellectual property.</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The success of both our space products and launch services businesses depend, in part, on our ability to protect our proprietary intellectual property rights. To date, we have relied primarily on patents, trademarks, trade secrets, other intellectual property laws, licensing arrangements, non-disclosure or confidentiality agreements with our employees, consultants, and other relevant persons, and other measures to protect our intellectual property (including our intellectual property that may not be patentable or subject to copyright, trademark, trade dress or service mark protection), and intend to continue to rely on these and other means. We also rely on trade secrets,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designs, know-how, and other confidential information to protect our intellectual property that may not be patentable or subject to copyright, trademark, trade dress, or service mark protection, or that we believe is best protected by means that do not require public disclosure. However, the steps we take to protect our intellectual property may be inadequate, and we may choose not to pursue or maintain certain types of intellectual property protection or registration for our intellectual property in the United States or foreign jurisdictions. We will not be able to protect our intellectual property if we are unable to enforce our rights or if we do not detect unauthorized use of our intellectual property. To the extent we expand our international activities, our exposure to unauthorized copying and use of our technologies and proprietary information may increase. Despite our precautions, our proprietary rights in the United States or abroad may not be adequate, and it may be possible for unauthorized third parties to copy, reverse engineer or misappropriate our technology or intellectual property rights and use information that we regard as proprietary to create technology that competes with ours. In addition, although we seek to enter into non-disclosure and invention assignment agreements with our employees and enter into non-disclosure agreements with our customers, consultants and other parties with whom we have strategic relationships and business alliances and enter into intellectual property assignment agreements with our consultants, contractors and vendors, no assurance can be given that these agreements will be effective in controlling access to and distribution of our technology and proprietary information. While we seek to enter into such agreements, we may fail to enter into such agreements with all relevant entities, such agreements may be breached or may not be self-executing, and we may be subject to claims that employees misappropriated relevant rights from their previous employers. Accordingly, we cannot guarantee that the steps we have taken to protect our intellectual property will be adequate to prevent infringement of our rights or misappropriation of our technology, trade secrets or know-how, or that we have secured, or will be able to secure, appropriate permissions or protections for all of the intellectual property rights we use or claim rights to. Further, these agreements do not prevent our competitors from independently developing technologies that are substantially equivalent or superior to our products. In certain instances, we have granted customers licenses to our intellectual property, and we have disclosed the necessary intellectual property, including our trade secrets, proprietary know-how and other confidential information, to these customers. Additionally, certain of our customer agreements contain provisions permitting the customer to become a party to, or beneficiary of, an escrow agreement under which we place certain intellectual property in escrow with a third party. Under these escrow agreements, such intellectual property may be released to the customer for certain purposes, including to manufacture (or coordinate the manufacture of) certain of our products upon the occurrence of specified events, such as our filing for bankruptcy or ceasing our business operations generally. Although our license grants contain certain restrictions and protections for our intellectual property, we cannot control the actions by third parties, their affiliates and manufacturing partners, and their respective employees.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If we fail to protect our intellectual property rights adequately, we may lose an important advantage in the markets in which we compete. Our efforts to protect these rights may be insufficient or ineffective, and any of our intellectual property rights may be challenged, which could result in them being narrowed in scope or declared invalid or unenforceable. Any unauthorized use or disclosure of our intellectual property, including by our current or future manufacturing partners and suppliers, would cause us material harm in a manner that monetary damages alone could not redress, and this unauthorized use or disclosure could have a material adverse effect on our business and operations. Other parties may also independently develop technologies, products, and services that are substantially similar or superior to ours. We also may be forced to bring claims against third parties, or defend claims that they may bring against us, to determine the ownership of what we regard as our intellectual property. Costly and time-consuming litigation could be necessary to enforce and determine the scope of our proprietary rights, and failure to obtain or maintain protection for our proprietary information could adversely affect our competitive business position. Further, adequate remedies may not be available in the event of an unauthorized use or disclosure of our trade secrets and manufacturing expertise. Finally, for those products in our portfolio that rely on patent protection, once a patent has expired, the product is generally open to competition. Products under patent protection usually generate significantly higher revenues than those not protected by patents. If we fail to successfully enforce our intellectual property rights, our competitive position could suffer, which could harm our business, financial condition, results of operations, and cash flows.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We also rely on physical and electronic security measures to protect our proprietary information, but we cannot provide assurance that these security measures will not be breached or will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pStyle w:val="TextBody"/>
        <w:bidi w:val="0"/>
        <w:spacing w:before="200" w:after="283"/>
        <w:jc w:val="both"/>
        <w:rPr>
          <w:rFonts w:ascii="Times New Roman" w:hAnsi="Times New Roman"/>
          <w:sz w:val="20"/>
        </w:rPr>
      </w:pPr>
      <w:r>
        <w:rPr>
          <w:rFonts w:ascii="Times New Roman" w:hAnsi="Times New Roman"/>
          <w:b/>
          <w:i/>
          <w:color w:val="010302"/>
          <w:sz w:val="20"/>
        </w:rPr>
        <w:t>Protecting and defending against intellectual property claims may have a material adverse effect on our business.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Our success depends in part upon successful prosecution, maintenance, enforcement, and protection of our owned and licensed intellectual property. To protect our intellectual property rights, we may be required to spend significant resources to monitor and protect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as well as any costly litigation or diversion of our management’s attention and resources, could disrupt our business, as well as have a material adverse effect on our financial condition and results of operations. The results of intellectual property litigation are difficult to predict and may result in significant damage awards or settlement costs. We may also be required to undertake workarounds or substantial reengineering of our products or services, stop using certain technologies, stop offering certain services or enter into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royalty or licensing agreements, which may include terms that are not commercially acceptable to us. There is no guarantee that any action to defend, maintain or enforce our owned or licensed intellectual property rights will be successful, and an adverse result in any such proceeding could have a material adverse impact on our business, financial condition, and results of operations. In addition, we may from time-to-time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financial condition, and results of operations. Even if these matters do not result in litigation or are resolved in our favor or without significant cash settlements, these matters, and the time and resources necessary to litigate or resolve them, could divert the time and resources of our management team and harm our business, financial condition, our results of operations, and our reputation. </w:t>
      </w:r>
    </w:p>
    <w:p>
      <w:pPr>
        <w:pStyle w:val="TextBody"/>
        <w:bidi w:val="0"/>
        <w:spacing w:before="200" w:after="283"/>
        <w:jc w:val="both"/>
        <w:rPr>
          <w:rFonts w:ascii="Times New Roman" w:hAnsi="Times New Roman"/>
          <w:sz w:val="20"/>
        </w:rPr>
      </w:pPr>
      <w:r>
        <w:rPr>
          <w:rFonts w:ascii="Times New Roman" w:hAnsi="Times New Roman"/>
          <w:b/>
          <w:i/>
          <w:color w:val="010302"/>
          <w:sz w:val="20"/>
        </w:rPr>
        <w:t>A significant deferment of orders by customers could have a material adverse effect on our business, results of operations, prospects, and financial</w:t>
      </w:r>
      <w:r>
        <w:rPr>
          <w:rFonts w:ascii="Times New Roman" w:hAnsi="Times New Roman"/>
          <w:color w:val="010302"/>
          <w:sz w:val="20"/>
        </w:rPr>
        <w:t xml:space="preserve"> </w:t>
      </w:r>
      <w:r>
        <w:rPr>
          <w:rFonts w:ascii="Times New Roman" w:hAnsi="Times New Roman"/>
          <w:b/>
          <w:i/>
          <w:color w:val="010302"/>
          <w:sz w:val="20"/>
        </w:rPr>
        <w:t>condition.</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Uncertainty about current and future global economic conditions may cause the U.S. government, customers, and businesses to modify, defer or cancel purchases in response to tighter credit, decreased cash availability and declining customer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 </w:t>
      </w:r>
    </w:p>
    <w:p>
      <w:pPr>
        <w:pStyle w:val="TextBody"/>
        <w:bidi w:val="0"/>
        <w:spacing w:before="200" w:after="283"/>
        <w:jc w:val="both"/>
        <w:rPr>
          <w:rFonts w:ascii="Times New Roman" w:hAnsi="Times New Roman"/>
          <w:sz w:val="20"/>
        </w:rPr>
      </w:pPr>
      <w:r>
        <w:rPr>
          <w:rFonts w:ascii="Times New Roman" w:hAnsi="Times New Roman"/>
          <w:b/>
          <w:i/>
          <w:color w:val="010302"/>
          <w:sz w:val="20"/>
        </w:rPr>
        <w:t>Shortfalls in available external R&amp;D funding could adversely affect us.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depend on our R&amp;D activities to develop the core technologies used in our products and for the development of our future products. A portion of our R&amp;D activities depends on funding by commercial companies and the U.S. government. U.S. government and commercial spending levels can be impacted by a number of variables, including general economic conditions, specific companies’ financial performance, changes in U.S. government contracting policies and competition for U.S. government funding with other U.S. government-sponsored programs in the budget formulation and appropriation processes. To the extent that these external sources of funding are reduced or eliminated, U.S. government agencies may elect to reduce their purchases under contracts, to exercise their right to terminate contracts at any time without penalty or not to exercise options to renew contracts, any of which could result in decreased sales of our products, consequently harming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Due to the competitive process to obtain contracts and the likelihood of bid protests, we may be unable to achieve or sustain revenue growth and</w:t>
      </w:r>
      <w:r>
        <w:rPr>
          <w:rFonts w:ascii="Times New Roman" w:hAnsi="Times New Roman"/>
          <w:color w:val="010302"/>
          <w:sz w:val="20"/>
        </w:rPr>
        <w:t xml:space="preserve"> </w:t>
      </w:r>
      <w:r>
        <w:rPr>
          <w:rFonts w:ascii="Times New Roman" w:hAnsi="Times New Roman"/>
          <w:b/>
          <w:i/>
          <w:color w:val="010302"/>
          <w:sz w:val="20"/>
        </w:rPr>
        <w:t>profitability.</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We expect that a majority of the business that we seek in the foreseeable future will be awarded through a competitive bidding process. The U.S. government has increasingly relied on contracts that are subject to a continuing competitive bidding process, including multi-award contracts, which has resulted in greater competition and increased pricing pressure. The competitive bidding process involves substantial costs, including labor cost and managerial time to prepare bids and proposals for contracts that may not be awarded to us, may be split among competitors, or that may be awarded but for which we do not receive meaningful task orders, and several risks, including the risk of inaccurately estimating the resources and costs that will be required to fulfill any contract we win. Following contract award, we may encounter significant expense, delay, contract modifications, or even cancellation of the contract award as a result of our competitors protesting the award of contracts to us. Any resulting loss or delay of start-up and funding of work under protested contract awards may adversely affect our revenues and profitability. In addition, multiple-award contracts require that we make sustained post-award efforts to obtain task orders under the contract. As a result, we may not be able to obtain these task orders or recognize revenues under these multiple-award contracts. Our failure to compete effectively in this procurement environment would adversely affect our revenues and profitability.</w:t>
      </w:r>
    </w:p>
    <w:p>
      <w:pPr>
        <w:pStyle w:val="TextBody"/>
        <w:bidi w:val="0"/>
        <w:spacing w:before="200" w:after="283"/>
        <w:jc w:val="both"/>
        <w:rPr>
          <w:rFonts w:ascii="Times New Roman" w:hAnsi="Times New Roman"/>
          <w:sz w:val="20"/>
        </w:rPr>
      </w:pPr>
      <w:r>
        <w:rPr>
          <w:rFonts w:ascii="Times New Roman" w:hAnsi="Times New Roman"/>
          <w:b/>
          <w:i/>
          <w:color w:val="010302"/>
          <w:sz w:val="20"/>
        </w:rPr>
        <w:t>The U.S. government’s determination to award a future contract or contract option may be challenged by an interested party, and, if that challenge</w:t>
      </w:r>
      <w:r>
        <w:rPr>
          <w:rFonts w:ascii="Times New Roman" w:hAnsi="Times New Roman"/>
          <w:color w:val="010302"/>
          <w:sz w:val="20"/>
        </w:rPr>
        <w:t xml:space="preserve"> </w:t>
      </w:r>
      <w:r>
        <w:rPr>
          <w:rFonts w:ascii="Times New Roman" w:hAnsi="Times New Roman"/>
          <w:b/>
          <w:i/>
          <w:color w:val="010302"/>
          <w:sz w:val="20"/>
        </w:rPr>
        <w:t>is successful, that future contract or option may be terminated.</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The laws and regulations governing procurements by the U.S. government provide procedures by which other bidders and interested parties may challenge the award of a government contract at the U.S. Government Accountability Office (“GAO”) or in federal court. If we are awarded a government contract, such challenges or protests could be filed even if there are not any valid legal grounds on which to base the challenge or protest. If any such challenges or protests are filed, the government agency may decide to suspend our performance under the contract while such challenges or protests are being considered by the GAO or the applicable federal court, thus potentially delaying delivery of payment.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In addition, we could be forced to expend significant funds to defend any potential award. If a challenge or protest is successful, the government agency may be ordered to terminate any one or more of our contracts and reselect bids. The government agencies with which we have contracts could even be directed to award a potential contract to one of the other bidders. Finally, the government agency, in its discretion, may elect to take corrective action to resolve a pending bid protest which could result in the government agency reevaluating bidders, or asking bidders to re-compete for the contract, and the selection of a new bidder. </w:t>
      </w:r>
    </w:p>
    <w:p>
      <w:pPr>
        <w:pStyle w:val="TextBody"/>
        <w:bidi w:val="0"/>
        <w:spacing w:before="200" w:after="283"/>
        <w:jc w:val="both"/>
        <w:rPr>
          <w:rFonts w:ascii="Times New Roman" w:hAnsi="Times New Roman"/>
          <w:sz w:val="20"/>
        </w:rPr>
      </w:pPr>
      <w:r>
        <w:rPr>
          <w:rFonts w:ascii="Times New Roman" w:hAnsi="Times New Roman"/>
          <w:b/>
          <w:i/>
          <w:color w:val="010302"/>
          <w:sz w:val="20"/>
        </w:rPr>
        <w:t>Environmental matters, including costs associated with compliance and remediation efforts and government and third-party claims, could have a</w:t>
      </w:r>
      <w:r>
        <w:rPr>
          <w:rFonts w:ascii="Times New Roman" w:hAnsi="Times New Roman"/>
          <w:color w:val="010302"/>
          <w:sz w:val="20"/>
        </w:rPr>
        <w:t xml:space="preserve"> </w:t>
      </w:r>
      <w:r>
        <w:rPr>
          <w:rFonts w:ascii="Times New Roman" w:hAnsi="Times New Roman"/>
          <w:b/>
          <w:i/>
          <w:color w:val="010302"/>
          <w:sz w:val="20"/>
        </w:rPr>
        <w:t>material adverse effect on our reputation and our business, financial condition, and results of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Our operations are subject to and affected by various federal, state, local, and foreign environmental laws, and regulations, which can frequently be expanded, changed, or enforced differently over time. Compliance with these existing and evolving 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of facilities that generally cannot be used in performing on U.S. government contracts until the violation is corrected. Stricter or different remediation standards or enforcement of existing laws and regulations; new requirements, including regulation of new substances; discovery of previously unknown contamination or new contaminants; imposition of fines, penalties, or damages (including natural resource damages); a determination that certain remediation or other costs are unallowable; rulings on allocation or insurance coverage; and/or the insolvency, inability or unwillingness of other parties to pay their share, could require us to incur material additional costs in excess of those anticipated. We may become a party to legal proceedings and disputes involving government and private parties (including individual and class actions) relating to alleged impacts from pollutants released into the environment, including bodily injury and property damage. These matters could result in material compensatory or other damages, remediation costs, penalties, non-monetary relief, and adverse allowability or insurance coverage determinations. The impact of these factors is difficult to predict, but one or more of them could harm our reputation and business and have a material adverse effect on our results of operations, prospects, and financial condition. </w:t>
      </w:r>
    </w:p>
    <w:p>
      <w:pPr>
        <w:pStyle w:val="TextBody"/>
        <w:bidi w:val="0"/>
        <w:spacing w:before="200" w:after="283"/>
        <w:jc w:val="both"/>
        <w:rPr>
          <w:rFonts w:ascii="Times New Roman" w:hAnsi="Times New Roman"/>
          <w:sz w:val="20"/>
        </w:rPr>
      </w:pPr>
      <w:r>
        <w:rPr>
          <w:rFonts w:ascii="Times New Roman" w:hAnsi="Times New Roman"/>
          <w:b/>
          <w:i/>
          <w:color w:val="010302"/>
          <w:sz w:val="20"/>
        </w:rPr>
        <w:t>Failure to maintain a level of corporate social responsibility could damage our reputation and could materially adversely affect our business,</w:t>
      </w:r>
      <w:r>
        <w:rPr>
          <w:rFonts w:ascii="Times New Roman" w:hAnsi="Times New Roman"/>
          <w:color w:val="010302"/>
          <w:sz w:val="20"/>
        </w:rPr>
        <w:t xml:space="preserve"> </w:t>
      </w:r>
      <w:r>
        <w:rPr>
          <w:rFonts w:ascii="Times New Roman" w:hAnsi="Times New Roman"/>
          <w:b/>
          <w:i/>
          <w:color w:val="010302"/>
          <w:sz w:val="20"/>
        </w:rPr>
        <w:t>financial condition, and results of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In light of evolving, and often conflicting, expectations around corporate social responsibility, our reputation could be materially adversely impacted by a failure (or perceived failure) to maintain a level of corporate social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impact on the environment, greenhouse gas emissions and climate-related risks, renewable energy, water stewardship and waste management; responsible sourcing in our supply chain; the practices of our employees, agents, customers, suppliers, or other third parties (including others in our industry) with respect to any of the foregoing, actual or perceived; the failure to be perceived as appropriately addressing matters of social responsibility; customer perception of statements made by us, our employees and executives, agents, customers, suppliers, or other third parties (including others in our industry); or our responses to any of the foregoing.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Stakeholders also may have very different views on corporate social responsibility, including differing or conflicting views of regulators in various jurisdictions in which we operate. Various regulatory authorities have imposed, and may continue to impose, mandatory substantive or disclosure requirements with respect to corporate social responsibility matters. These requirements may not always be uniform across jurisdictions and may conflict with legal requirements, particularly in certain U.S. states that seek to discourage or penalize consideration of corporate social responsibility factors in business operations, which may result in increased complexity, and cost for compliance, as well as could lead to increased litigation risks related to disclosures made pursuant to these regulations and legal requirements, any of which could adversely affect our financial performance. Certain investors are also requiring companies to disclose corporate, social and environmental policies, practices, and metrics. If we are unable to comply with, or are unable to cause our suppliers to comply with such policies, or meet the requirements of our customers and investors, a customer may stop purchasing products from us or an investor may sell their shares, and may take legal action against us, which could materially adversely affect our reputation, business, financial condition, and results of operations. As a result, we may become subject to new or more stringent regulations, legislation or other governmental requirements, customer requirements or industry standards and/or an increased demand to meet voluntary criteria related to such matters. Increased regulations, customer requirements or industry standards, including around climate change concerns, could subject us to additional costs and restrictions and require us to make certain changes to our manufacturing practices and/or product designs, which could materially adversely affect our business, financial condition, and results of operations.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10302"/>
          <w:sz w:val="20"/>
        </w:rPr>
        <w:t>Our business with various governmental entities is concentrated in a small number of primary contracts. The loss or reduction in scope of our IDIQ</w:t>
      </w:r>
      <w:r>
        <w:rPr>
          <w:rFonts w:ascii="Times New Roman" w:hAnsi="Times New Roman"/>
          <w:color w:val="010302"/>
          <w:sz w:val="20"/>
        </w:rPr>
        <w:t xml:space="preserve"> </w:t>
      </w:r>
      <w:r>
        <w:rPr>
          <w:rFonts w:ascii="Times New Roman" w:hAnsi="Times New Roman"/>
          <w:b/>
          <w:i/>
          <w:color w:val="010302"/>
          <w:sz w:val="20"/>
        </w:rPr>
        <w:t>contracts could impair our ability to attract new business.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are party to several Indefinite Delivery, Indefinite Quantity (“IDIQ”) contracts. The IDIQ contracts allow the government to procure services from us over a fixed period of time without a predetermined quantity, issuing task or delivery orders as needed. We believe that our ability to provide services under these contracts will continue to be important to our business because of the multiple opportunities for new engagements each contract provides. If one or more of these contracts were cancelled, we could lose substantial revenues and our operating results could suffer, which could have a material adverse effect on our business, financial condition, and results of operations. Furthermore, we cannot be assured that our government clients will continue to exercise the options remaining on our current contracts, nor can we be assured that our future clients will exercise options on any contracts we may receive in the future. </w:t>
      </w:r>
    </w:p>
    <w:p>
      <w:pPr>
        <w:pStyle w:val="TextBody"/>
        <w:bidi w:val="0"/>
        <w:spacing w:before="200" w:after="283"/>
        <w:jc w:val="both"/>
        <w:rPr>
          <w:rFonts w:ascii="Times New Roman" w:hAnsi="Times New Roman"/>
          <w:sz w:val="20"/>
        </w:rPr>
      </w:pPr>
      <w:r>
        <w:rPr>
          <w:rFonts w:ascii="Times New Roman" w:hAnsi="Times New Roman"/>
          <w:b/>
          <w:i/>
          <w:color w:val="010302"/>
          <w:sz w:val="20"/>
        </w:rPr>
        <w:t>Some of our contracts with the U.S. government allow it to use technical data developed under the contracts and to disclose technical data to third</w:t>
      </w:r>
      <w:r>
        <w:rPr>
          <w:rFonts w:ascii="Times New Roman" w:hAnsi="Times New Roman"/>
          <w:color w:val="010302"/>
          <w:sz w:val="20"/>
        </w:rPr>
        <w:t xml:space="preserve"> </w:t>
      </w:r>
      <w:r>
        <w:rPr>
          <w:rFonts w:ascii="Times New Roman" w:hAnsi="Times New Roman"/>
          <w:b/>
          <w:i/>
          <w:color w:val="010302"/>
          <w:sz w:val="20"/>
        </w:rPr>
        <w:t>parties, which could harm our ability to compete.</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Some of our contracts allow the U.S. government to use, royalty-free, or have others use, technical data developed under those contracts on behalf of the government. Some of the contracts allow the federal government to disclose technical data or computer software developed in the performance of the agreement or delivered to the government during the performance of the agreement without constraining the recipient on how that technical data or computer software is used. The ability of third parties to use technical data or computer software (for any purposes) and patents for government purposes creates the possibility that the government could attempt to establish alternative suppliers or to negotiate with us to reduce our prices. The potential that the government may release some of the technical data or computer software without constraint creates the possibility that third parties may be able to use this technical data or computer software to compete with us, which could have a material adverse effect on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A preference for small, small disadvantaged, service-disabled veteran-owned, woman-owned businesses or other preferred socioeconomic</w:t>
      </w:r>
      <w:r>
        <w:rPr>
          <w:rFonts w:ascii="Times New Roman" w:hAnsi="Times New Roman"/>
          <w:color w:val="010302"/>
          <w:sz w:val="20"/>
        </w:rPr>
        <w:t xml:space="preserve"> </w:t>
      </w:r>
      <w:r>
        <w:rPr>
          <w:rFonts w:ascii="Times New Roman" w:hAnsi="Times New Roman"/>
          <w:b/>
          <w:i/>
          <w:color w:val="010302"/>
          <w:sz w:val="20"/>
        </w:rPr>
        <w:t>designations could impact our ability to be a prime contractor and limit our opportunity to work as a subcontractor on certain governmental</w:t>
      </w:r>
      <w:r>
        <w:rPr>
          <w:rFonts w:ascii="Times New Roman" w:hAnsi="Times New Roman"/>
          <w:color w:val="010302"/>
          <w:sz w:val="20"/>
        </w:rPr>
        <w:t xml:space="preserve"> </w:t>
      </w:r>
      <w:r>
        <w:rPr>
          <w:rFonts w:ascii="Times New Roman" w:hAnsi="Times New Roman"/>
          <w:b/>
          <w:i/>
          <w:color w:val="010302"/>
          <w:sz w:val="20"/>
        </w:rPr>
        <w:t>procurements.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As a result of the Small Business Administration (“SBA”) set-aside program, the federal government may decide to restrict certain procurements only to bidders that qualify as small, small disadvantaged, service-disabled veteran-owned, woman-owned businesses or meeting some other socioeconomic designation. We do not qualify as a small, small disadvantaged, service-disabled veteran-owned, woman-owned business or having any other preferred socioeconomic designation. As a result, we would not be eligible to perform as a prime contractor on those programs and in general would be restricted to no more than 49% of the work as a subcontractor on those programs. Contracts that SciTec was historically awarded under this program prior to our acquisition are no longer available to us, meaning such contracts will be lost as they come up for renewal. The small business requirements on procurements under the SBA set-aside program or other similar governmental programs may impact our ability to bid on new procurements as a prime contractor, or limit our opportunity to work as a subcontractor on such procurements. </w:t>
      </w:r>
    </w:p>
    <w:p>
      <w:pPr>
        <w:pStyle w:val="TextBody"/>
        <w:bidi w:val="0"/>
        <w:spacing w:before="200" w:after="283"/>
        <w:jc w:val="both"/>
        <w:rPr>
          <w:rFonts w:ascii="Times New Roman" w:hAnsi="Times New Roman"/>
          <w:sz w:val="20"/>
        </w:rPr>
      </w:pPr>
      <w:r>
        <w:rPr>
          <w:rFonts w:ascii="Times New Roman" w:hAnsi="Times New Roman"/>
          <w:b/>
          <w:i/>
          <w:color w:val="010302"/>
          <w:sz w:val="20"/>
        </w:rPr>
        <w:t>If we fail to establish and maintain important relationships with government agencies and prime contractors, our ability to successfully maintain</w:t>
      </w:r>
      <w:r>
        <w:rPr>
          <w:rFonts w:ascii="Times New Roman" w:hAnsi="Times New Roman"/>
          <w:color w:val="010302"/>
          <w:sz w:val="20"/>
        </w:rPr>
        <w:t xml:space="preserve"> </w:t>
      </w:r>
      <w:r>
        <w:rPr>
          <w:rFonts w:ascii="Times New Roman" w:hAnsi="Times New Roman"/>
          <w:b/>
          <w:i/>
          <w:color w:val="010302"/>
          <w:sz w:val="20"/>
        </w:rPr>
        <w:t>and develop new business could be materially adversely affected.</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Our reputation and relationship with the U.S. government, and in particular with the agencies of the DoW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materially adversely affect our ability to maintain our existing business and compete successfully for new business. </w:t>
      </w:r>
    </w:p>
    <w:p>
      <w:pPr>
        <w:pStyle w:val="TextBody"/>
        <w:bidi w:val="0"/>
        <w:spacing w:before="200" w:after="283"/>
        <w:jc w:val="both"/>
        <w:rPr>
          <w:rFonts w:ascii="Times New Roman" w:hAnsi="Times New Roman"/>
          <w:sz w:val="20"/>
        </w:rPr>
      </w:pPr>
      <w:r>
        <w:rPr>
          <w:rFonts w:ascii="Times New Roman" w:hAnsi="Times New Roman"/>
          <w:b/>
          <w:i/>
          <w:color w:val="010302"/>
          <w:sz w:val="20"/>
        </w:rPr>
        <w:t>We have classified contracts with the U.S. government, which may limit investor insight into portions of our business.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derive a portion of our revenues from programs with the U.S. government and its agencies that are subject to security restrictions (e.g., contracts involving classified information and classified programs), which preclude the dissemination of information and technology that is classified for national security purposes under applicable law and regulation. In general, access to classified information, technology, facilities, or programs requires appropriate personnel security clearances, is subject to additional contract oversight and potential liability, and also requires appropriate facility security clearances and other specialized infrastructure. In the event of a security incident involving classified information, technology, facilities, programs, or personnel holding clearances, we may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be subject to legal, financial, operational, and reputational harm. We are limited in our ability to provide information about these classified programs, their risks or any disputes or claims relating to such programs. As a result, investors have less insight into our classified business or our business overall. However, historically the business risks associated with our work on classified programs have not differed materially from those of our other government contracts. </w:t>
      </w:r>
    </w:p>
    <w:p>
      <w:pPr>
        <w:pStyle w:val="TextBody"/>
        <w:bidi w:val="0"/>
        <w:spacing w:before="200" w:after="283"/>
        <w:jc w:val="both"/>
        <w:rPr>
          <w:rFonts w:ascii="Times New Roman" w:hAnsi="Times New Roman"/>
          <w:sz w:val="20"/>
        </w:rPr>
      </w:pPr>
      <w:r>
        <w:rPr>
          <w:rFonts w:ascii="Times New Roman" w:hAnsi="Times New Roman"/>
          <w:b/>
          <w:i/>
          <w:color w:val="010302"/>
          <w:sz w:val="20"/>
        </w:rPr>
        <w:t>U.S. government contracts are generally not fully funded at inception, contain certain provisions that may be unfavorable to us and may be</w:t>
      </w:r>
      <w:r>
        <w:rPr>
          <w:rFonts w:ascii="Times New Roman" w:hAnsi="Times New Roman"/>
          <w:color w:val="010302"/>
          <w:sz w:val="20"/>
        </w:rPr>
        <w:t xml:space="preserve"> </w:t>
      </w:r>
      <w:r>
        <w:rPr>
          <w:rFonts w:ascii="Times New Roman" w:hAnsi="Times New Roman"/>
          <w:b/>
          <w:i/>
          <w:color w:val="010302"/>
          <w:sz w:val="20"/>
        </w:rPr>
        <w:t>undefinitized, or without final contract terms, at the time of the start of performance, which could prevent us from realizing our backlog and materially harm our business, financial</w:t>
      </w:r>
      <w:r>
        <w:rPr>
          <w:rFonts w:ascii="Times New Roman" w:hAnsi="Times New Roman"/>
          <w:color w:val="010302"/>
          <w:sz w:val="20"/>
        </w:rPr>
        <w:t xml:space="preserve"> </w:t>
      </w:r>
      <w:r>
        <w:rPr>
          <w:rFonts w:ascii="Times New Roman" w:hAnsi="Times New Roman"/>
          <w:b/>
          <w:i/>
          <w:color w:val="010302"/>
          <w:sz w:val="20"/>
        </w:rPr>
        <w:t>condition, and results of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 The actual receipt of revenue on awards included in backlog may never occur or may change because a program schedule could change or the program could be canceled, or a contract could be reduced, modified, or terminated early. 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material adverse effect on our business, financial condition, and results of operations.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 Furthermore, we may in the future operate from time to time under undefinitized contract actions (“UCA”s), under which we may begin performance at the direction of the U.S. government prior to completing contract negotiations regarding pricing, specifications, and other terms. Under a UCA, the U.S. government has the ability to unilaterally definitize contracts and, absent a successful appeal of such action, the unilateral definitization of the contract would obligate us to perform under terms and conditions imposed by the U.S. government. Such unilaterally imposed contract terms could include less favorable pricing and/or terms and conditions more burdensome than those negotiated in other circumstances, which could negatively affect our expected profitability under such contract and could materially adversely affect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Our cash flow and profitability could be reduced if expenditures are incurred prior to the final receipt of a contract.</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From time to time, in order to ensure that we satisfy our customers’ delivery requirements and schedules, we may elect to initiate procurement and production in advance of receiving a contract award, or final authorization from the government customer or a prime contractor. In addition, from time to time, we may build production units in advance of receiving an anticipated contract award. These actions that we may take to procure materials and/or commence production in advance of contract award require use of our working capital resources which impact our near-term operating cash flows. If we do not receive final authorization for a contract, or if contract requirements change, we may be unable to efficiently repurpose or resell some or all of the materials procured or items produced in anticipation of such contract. These actions could also reduce anticipated earnings or result in a loss, materially adversely affecting our business, financial condition, and results of operations.</w:t>
      </w:r>
    </w:p>
    <w:p>
      <w:pPr>
        <w:pStyle w:val="TextBody"/>
        <w:bidi w:val="0"/>
        <w:spacing w:before="200" w:after="283"/>
        <w:jc w:val="both"/>
        <w:rPr>
          <w:rFonts w:ascii="Times New Roman" w:hAnsi="Times New Roman"/>
          <w:sz w:val="20"/>
        </w:rPr>
      </w:pPr>
      <w:r>
        <w:rPr>
          <w:rFonts w:ascii="Times New Roman" w:hAnsi="Times New Roman"/>
          <w:b/>
          <w:i/>
          <w:color w:val="010302"/>
          <w:sz w:val="20"/>
        </w:rPr>
        <w:t>We may experience difficulties or disruptions in consummating future acquisitions and integrating the operations of acquired companies into our</w:t>
      </w:r>
      <w:r>
        <w:rPr>
          <w:rFonts w:ascii="Times New Roman" w:hAnsi="Times New Roman"/>
          <w:color w:val="010302"/>
          <w:sz w:val="20"/>
        </w:rPr>
        <w:t xml:space="preserve"> </w:t>
      </w:r>
      <w:r>
        <w:rPr>
          <w:rFonts w:ascii="Times New Roman" w:hAnsi="Times New Roman"/>
          <w:b/>
          <w:i/>
          <w:color w:val="010302"/>
          <w:sz w:val="20"/>
        </w:rPr>
        <w:t>business, or entering into any partnerships or joint ventures, and in realizing the expected benefits of these transactions.</w:t>
      </w:r>
      <w:r>
        <w:rPr>
          <w:rFonts w:ascii="Times New Roman" w:hAnsi="Times New Roman"/>
          <w:color w:val="010302"/>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10302"/>
          <w:sz w:val="20"/>
        </w:rPr>
        <w:t xml:space="preserve">We may from time to time enter into transactions to acquire other businesses which are complementary to or expand our existing offerings, as we did when we acquired the Spaceflight and SciTec businesses. Acquisitions involve numerous risks, any of which could harm our business and negatively affect our financial condition and results of operations. As a public company, we are subject to the reporting requirements of the Securities Exchange Act of 1934, as amended (the </w:t>
      </w:r>
      <w:r>
        <w:rPr>
          <w:rFonts w:ascii="Times New Roman" w:hAnsi="Times New Roman"/>
          <w:color w:val="000000"/>
          <w:sz w:val="20"/>
        </w:rPr>
        <w:t>“</w:t>
      </w:r>
      <w:r>
        <w:rPr>
          <w:rFonts w:ascii="Times New Roman" w:hAnsi="Times New Roman"/>
          <w:color w:val="010302"/>
          <w:sz w:val="20"/>
        </w:rPr>
        <w:t>Exchange Act</w:t>
      </w:r>
      <w:r>
        <w:rPr>
          <w:rFonts w:ascii="Times New Roman" w:hAnsi="Times New Roman"/>
          <w:color w:val="000000"/>
          <w:sz w:val="20"/>
        </w:rPr>
        <w:t>”</w:t>
      </w:r>
      <w:r>
        <w:rPr>
          <w:rFonts w:ascii="Times New Roman" w:hAnsi="Times New Roman"/>
          <w:color w:val="010302"/>
          <w:sz w:val="20"/>
        </w:rPr>
        <w:t xml:space="preserve">) and certain acquisitions, including acquisition opportunities we are currently considering, may be “significant” under Regulation S-X, requiring us to compile and file additional historical and/or pro forma financial information in connection with such acquisitions. In addition, the rules of Nasdaq limit our ability to issue equity securities as consideration in acquisition transactions without seeking shareholder approval. Any of these requirements could impair or delay our ability to negotiate, sign, and execute potentially desirable transactions and any disputes or litigation which may result from such transactions could be costly and time consuming. In addition, we may make acquisitions that are dilutive to our existing stockholders for a variety of reasons, including because we may use equity for all or a portion of the consideration we pay for these acquisitions (including acquisition opportunities we are currently considering).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The success of our acquisitions, once consummated, will depend in part on our ability to realize the anticipated business opportunities from combining their and our operations in an efficient and effective manner. These integration processes could take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longer than anticipated and could result in the loss of key employees, the disruption of each company’s ongoing businesses, tax costs or inefficiencies, write-offs or impairments, or inconsistencies in standards, controls, information technology systems, procedures, and policies, any of which could adversely affect our ability to maintain relationships with customers, employees or other third parties, or our ability to achieve the anticipated benefits of the acquisitions, and could harm our financial performance. We may also evaluate potential partnerships or joint ventures with third parties. We may not be successful in identifying partnership and joint venture candidates, and any partnerships or joint ventures may not be successful, may reduce our cash reserves, may negatively affect our earnings and financial performance and, to the extent financed with the proceeds of debt, may increase our indebtedness. Pursuing acquisitions, partnerships and joint ventures may divert management’s time and resources from our core business and disrupt our operations or may result in conflicts with our business. We cannot ensure that any acquisition, partnership, or joint venture we make or enter into will not have a material adverse effect on our business, financial condition, and results of operations.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realize the potential benefits and synergies sought with our recent acquisition of SciTec.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31, 2025, we completed our acquisition of SciTec. The success of the acquisition, including anticipated benefits and synergies, depends in part on our ability to successfully integrate SciTec’s business. We believe that there are significant benefits and synergies that may be realized, including allowing for the advancement of Firefly’s comprehensive space services by adding mission-proven defense software analytics, remote sensing, and multi-phenomenology data expertise. However, we may fail to realize these benefits and synergies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incompatibility or difficulties integrating and harmonizing technologies, including financial reporting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integrating exceeding original estimates;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of key employees;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combine SciTec’s core capabilities into Firefly’s products efficiently and effectively.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our integration efforts could disrupt both companies’ existing operations and also divert management attention and resources. If we experience difficulties with the integration process, the anticipated benefits of the acquisition, including anticipated sales and growth opportunities, may not be realized fully, or at all, and may take longer to realize than expected. Failure to achieve the anticipated benefits of the acquisition could adversely affect our results of operations, financial condition and cash flows, decrease or delay the accretive effect of the acquisition and negatively impact the price of our common stock.</w:t>
      </w:r>
    </w:p>
    <w:p>
      <w:pPr>
        <w:pStyle w:val="TextBody"/>
        <w:bidi w:val="0"/>
        <w:spacing w:before="200" w:after="283"/>
        <w:jc w:val="both"/>
        <w:rPr>
          <w:rFonts w:ascii="Times New Roman" w:hAnsi="Times New Roman"/>
          <w:sz w:val="20"/>
        </w:rPr>
      </w:pPr>
      <w:r>
        <w:rPr>
          <w:rFonts w:ascii="Times New Roman" w:hAnsi="Times New Roman"/>
          <w:b/>
          <w:i/>
          <w:color w:val="010302"/>
          <w:sz w:val="20"/>
        </w:rPr>
        <w:t>When we enter into fixed-price contracts with some of our customers, we take the risk of cost overruns.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also have entered into multi-year, fixed-price contracts with some of our customers, pursuant to which we have agreed to perform the work for a fixed price and, accordingly, realize all of the profit or loss resulting from variations in the costs of performing the contract. To the extent we incur unanticipated cost overruns on a fixed-price contract, our profitability would be adversely affected. This risk is greater in a high inflationary environment. Sometimes, we accept a fixed-price contract for a product that we have not yet produced or that otherwise involves development work, and this increases the risk of cost overruns or delays in the completion of the design and manufacturing of the product, given that development work is inherently more uncertain as to future events than non-development contracts. Further, certain of our contracts do not permit us to recover increases in raw material prices, taxes, or labor costs, which could further decrease our profitability with respect to such contracts. </w:t>
      </w:r>
    </w:p>
    <w:p>
      <w:pPr>
        <w:pStyle w:val="TextBody"/>
        <w:bidi w:val="0"/>
        <w:spacing w:before="200" w:after="283"/>
        <w:jc w:val="both"/>
        <w:rPr>
          <w:rFonts w:ascii="Times New Roman" w:hAnsi="Times New Roman"/>
          <w:sz w:val="20"/>
        </w:rPr>
      </w:pPr>
      <w:r>
        <w:rPr>
          <w:rFonts w:ascii="Times New Roman" w:hAnsi="Times New Roman"/>
          <w:b/>
          <w:i/>
          <w:color w:val="010302"/>
          <w:sz w:val="20"/>
        </w:rPr>
        <w:t>Our operations depend on our manufacturing facilities, which are subject to physical and other risks that could disrupt production.</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Our operations and those of our customers and suppliers have been and may again be subject to natural disasters, climate change-related events, pandemics, or other business disruptions, which could seriously harm our results of operations and increase our costs and expenses. Our manufacturing facilities are located in regions that may be impacted by severe weather events, such as increased storm frequency or severity and fires in hotter and drier climates. These could result in potential damage to our physical assets as well as disruptions in manufacturing activities. Our manufacturing facilities are located in areas that may be at risk due to rising sea levels. Moreover, our manufacturing facilities are located in areas that could experience decreased access to water due to climate issues. We are also vulnerable to damage from other types of disasters, including power loss, fire, explosions, floods, communications failures, terrorist attacks, and similar events. Disruptions could also occur due to health-related outbreaks and crises, cyber attacks, computer or equipment malfunction (accidental or intentional), operator error, or process failures. Should insurance or other risk transfer mechanisms, such as our existing disaster recovery and business continuity plans, be insufficient to recover all costs, we could experience a material adverse effect on our business, results of operations, prospects, and financial condition. </w:t>
      </w:r>
    </w:p>
    <w:p>
      <w:pPr>
        <w:pStyle w:val="TextBody"/>
        <w:bidi w:val="0"/>
        <w:spacing w:before="200" w:after="283"/>
        <w:jc w:val="both"/>
        <w:rPr>
          <w:rFonts w:ascii="Times New Roman" w:hAnsi="Times New Roman"/>
          <w:sz w:val="20"/>
        </w:rPr>
      </w:pPr>
      <w:r>
        <w:rPr>
          <w:rFonts w:ascii="Times New Roman" w:hAnsi="Times New Roman"/>
          <w:b/>
          <w:i/>
          <w:color w:val="010302"/>
          <w:sz w:val="20"/>
        </w:rPr>
        <w:t>Our leases may be terminated, or we may be unable to renew our leases on acceptable terms and if we wish to relocate, we may incur additional</w:t>
      </w:r>
      <w:r>
        <w:rPr>
          <w:rFonts w:ascii="Times New Roman" w:hAnsi="Times New Roman"/>
          <w:color w:val="010302"/>
          <w:sz w:val="20"/>
        </w:rPr>
        <w:t xml:space="preserve"> </w:t>
      </w:r>
      <w:r>
        <w:rPr>
          <w:rFonts w:ascii="Times New Roman" w:hAnsi="Times New Roman"/>
          <w:b/>
          <w:i/>
          <w:color w:val="010302"/>
          <w:sz w:val="20"/>
        </w:rPr>
        <w:t>costs if we terminate a lease.</w:t>
      </w:r>
      <w:r>
        <w:rPr>
          <w:rFonts w:ascii="Times New Roman" w:hAnsi="Times New Roman"/>
          <w:color w:val="010302"/>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have made significant capital expenditures to improve our leased facilities to make them suitable for our purposes as well as to meet requirements that we are subject to as a U.S. government contractor and obtain facility security clearances. However, at the end of the lease term and during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financial condition, and results of operations, including significant capital expenses that may materially impact our results of operations and ability to meet certain contractual schedule commitments. Additionally, we may have to seek qualification of any new facilities to meet customer or contractual requirements. We would also have to obtain facility security clearances for the new facility to continue to perform on classified contracts. Further, we may not be able to secure a replacement facility in a location that is as commercially viable as that of the lease we are unable to renew, due to contracts that may require us to have facilities in certain locations. Having to close a facility, even briefly to relocate, would reduce the sales that such facility would be able to contribute to our revenues. Additionally, a relocated facility may generate less revenue and profit, if any, than the facility it was established to replace. Certain of our facilities are located on leased premises subject to non-cancellable leases. Typically, our leases have initial terms ranging from five to 25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Our inability to terminate a lease when we stop fully utilizing a facility could materially adversely impact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We currently have, and will continue to have, significant lease obligations, and our failure to meet those obligations could adversely affect our</w:t>
      </w:r>
      <w:r>
        <w:rPr>
          <w:rFonts w:ascii="Times New Roman" w:hAnsi="Times New Roman"/>
          <w:color w:val="010302"/>
          <w:sz w:val="20"/>
        </w:rPr>
        <w:t xml:space="preserve"> </w:t>
      </w:r>
      <w:r>
        <w:rPr>
          <w:rFonts w:ascii="Times New Roman" w:hAnsi="Times New Roman"/>
          <w:b/>
          <w:i/>
          <w:color w:val="010302"/>
          <w:sz w:val="20"/>
        </w:rPr>
        <w:t>financial condition and business.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We currently have, and will continue to have, significant lease obligations for properties, vehicles and equipment. We depend on cash flow from operations to pay our lease expenses. If our business does not generate sufficient cash flow from operating activities to fund these expenses, we may not be able to meet our lease obligations, which could have a material adverse effect on our financial condition and business. Furthermore, the significant cash flow required to satisfy our financial obligations under the leases could limit our ability to incur indebtedness and make capital expenditures or other investments in our business.</w:t>
      </w:r>
    </w:p>
    <w:p>
      <w:pPr>
        <w:pStyle w:val="TextBody"/>
        <w:bidi w:val="0"/>
        <w:spacing w:before="200" w:after="283"/>
        <w:jc w:val="both"/>
        <w:rPr>
          <w:rFonts w:ascii="Times New Roman" w:hAnsi="Times New Roman"/>
          <w:sz w:val="20"/>
        </w:rPr>
      </w:pPr>
      <w:r>
        <w:rPr>
          <w:rFonts w:ascii="Times New Roman" w:hAnsi="Times New Roman"/>
          <w:b/>
          <w:i/>
          <w:color w:val="010302"/>
          <w:sz w:val="20"/>
        </w:rPr>
        <w:t>Certain future operational facilities may require significant expenditures in capital improvements and operating expenses to develop and foster basic</w:t>
      </w:r>
      <w:r>
        <w:rPr>
          <w:rFonts w:ascii="Times New Roman" w:hAnsi="Times New Roman"/>
          <w:color w:val="010302"/>
          <w:sz w:val="20"/>
        </w:rPr>
        <w:t xml:space="preserve"> </w:t>
      </w:r>
      <w:r>
        <w:rPr>
          <w:rFonts w:ascii="Times New Roman" w:hAnsi="Times New Roman"/>
          <w:b/>
          <w:i/>
          <w:color w:val="010302"/>
          <w:sz w:val="20"/>
        </w:rPr>
        <w:t>levels of service needed for our operations, and the ongoing need to maintain existing operational facilities requires us to expend capital.</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As part of our growth strategy, we may need to acquire, build, or utilize additional facilities. Construction of incremental factories and launch pads or other facilities in which we conduct our operations may require significant capital expenditures to develop, and in the future, we may be required to make similar expenditures to expand, improve or construct adequate facilities for our operations. If we cannot access the capital we need, we may not be able to execute on our growth strategy, take advantage of future opportunities or respond to competitive pressures. If the costs of funding new launch sites or other locations or renovations or enhancements at existing launch sites or other locations exceed budgeted amounts or the time for building or renovation is longer than anticipated, our business, financial condition, and results of operations could be materially adversely affected. </w:t>
      </w:r>
    </w:p>
    <w:p>
      <w:pPr>
        <w:pStyle w:val="TextBody"/>
        <w:bidi w:val="0"/>
        <w:spacing w:before="200" w:after="283"/>
        <w:jc w:val="both"/>
        <w:rPr>
          <w:rFonts w:ascii="Times New Roman" w:hAnsi="Times New Roman"/>
          <w:sz w:val="20"/>
        </w:rPr>
      </w:pPr>
      <w:r>
        <w:rPr>
          <w:rFonts w:ascii="Times New Roman" w:hAnsi="Times New Roman"/>
          <w:b/>
          <w:i/>
          <w:color w:val="010302"/>
          <w:sz w:val="20"/>
        </w:rPr>
        <w:t>Our future revenue and operating results are dependent on our ability to generate a sustainable order rate for our products and services and develop</w:t>
      </w:r>
      <w:r>
        <w:rPr>
          <w:rFonts w:ascii="Times New Roman" w:hAnsi="Times New Roman"/>
          <w:color w:val="010302"/>
          <w:sz w:val="20"/>
        </w:rPr>
        <w:t xml:space="preserve"> </w:t>
      </w:r>
      <w:r>
        <w:rPr>
          <w:rFonts w:ascii="Times New Roman" w:hAnsi="Times New Roman"/>
          <w:b/>
          <w:i/>
          <w:color w:val="010302"/>
          <w:sz w:val="20"/>
        </w:rPr>
        <w:t>new technologies to meet the needs of our customers or potential new customers.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The ability to generate a sustainable order rate for our products and services can be challenging and may fluctuate on an annual basis as the number of contracts awarded varies. If we are unable to win new awards or execute existing contracts as expected, our business, financial condition, and results of operations could be further adversely affected. Furthermore, if our customers experience delays or technical challenges with their products or services or exercise delay or termination rights under new or existing contracts, our ability to recognize the full potential value of such contracts could also adversely affect our business, financial condition, and results of operations.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The cyclical nature of the launch services and spacecraft solutions and services markets could negatively impact our ability to accurately forecast customer demand. The markets that we serve may not grow in the future and we may not be able to maintain adequate gross margins or profits in these markets. Our growth is dependent on the growth in the sales of services provided by our customers, our customers’ ability to anticipate market trends, and our ability to anticipate changes in the businesses of our customers and to successfully identify and enter new markets. If we fail to anticipate such changes in demand, or such demand does not materialize to the extent we expected or at all, our business, financial condition, and results of operations could be adversely affected.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The launch services and spacecraft solutions and services industries are each characterized by development of technologies to meet changing customer demand for complex and reliable products and services. Our products and services embody complex technology and may not always be compatible with current and evolving technical standards and systems developed by others. Failure or delays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meet the requisite and evolving industry or user standards could have a material adverse effect on our business, financial condition, and results of operations. Failure of suppliers to deliver against end customer requirements could lead to a material adverse effect on our financial results.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have previously experienced, and may experience in the future, delays or other complications in the design, manufacture, and commercialization of new launch services and spacecraft solutions and services and related technology and components. If we fail to develop and successfully commercialize new technologies, if we fail to develop such technologies before our competitors, or if such technologies fail to perform as expected, or are inferior to those of our competitors, our business, financial condition, and results of operations could be materially and adversely impacted. </w:t>
      </w:r>
    </w:p>
    <w:p>
      <w:pPr>
        <w:pStyle w:val="TextBody"/>
        <w:bidi w:val="0"/>
        <w:spacing w:before="200" w:after="283"/>
        <w:jc w:val="both"/>
        <w:rPr>
          <w:rFonts w:ascii="Times New Roman" w:hAnsi="Times New Roman"/>
          <w:sz w:val="20"/>
        </w:rPr>
      </w:pPr>
      <w:r>
        <w:rPr>
          <w:rFonts w:ascii="Times New Roman" w:hAnsi="Times New Roman"/>
          <w:b/>
          <w:i/>
          <w:color w:val="010302"/>
          <w:sz w:val="20"/>
        </w:rPr>
        <w:t>We may require additional capital to support business growth and this capital might not be available or may be available only by diluting existing</w:t>
      </w:r>
      <w:r>
        <w:rPr>
          <w:rFonts w:ascii="Times New Roman" w:hAnsi="Times New Roman"/>
          <w:color w:val="010302"/>
          <w:sz w:val="20"/>
        </w:rPr>
        <w:t xml:space="preserve"> </w:t>
      </w:r>
      <w:r>
        <w:rPr>
          <w:rFonts w:ascii="Times New Roman" w:hAnsi="Times New Roman"/>
          <w:b/>
          <w:i/>
          <w:color w:val="010302"/>
          <w:sz w:val="20"/>
        </w:rPr>
        <w:t>stockholders.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intend to continue making investments to support our business growth and may require additional funds to support this growth and respond to business challenges, including the need to develop our services, expand our inventory, enhance our operating infrastructure, expand the markets in which we operate and potentially acquire complementary businesses and technologies. Accordingly, we expect to need to engage in equity or debt financings to secure additional funds in the future.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obtain additional financing on terms favorable to us, if at all, including for reasons outside our control such as negative economic conditions. If we are unable to obtain adequate financing or financing on terms satisfactory to us when we require it, our ability to continue to support our business growth and to respond to business challenges could be significantly limited and our business and prospects could fail or be adversely affected. </w:t>
      </w:r>
    </w:p>
    <w:p>
      <w:pPr>
        <w:pStyle w:val="TextBody"/>
        <w:bidi w:val="0"/>
        <w:spacing w:before="200" w:after="283"/>
        <w:jc w:val="both"/>
        <w:rPr>
          <w:rFonts w:ascii="Times New Roman" w:hAnsi="Times New Roman"/>
          <w:sz w:val="20"/>
        </w:rPr>
      </w:pPr>
      <w:r>
        <w:rPr>
          <w:rFonts w:ascii="Times New Roman" w:hAnsi="Times New Roman"/>
          <w:b/>
          <w:i/>
          <w:color w:val="010302"/>
          <w:sz w:val="20"/>
        </w:rPr>
        <w:t>We previously identified a material weakness in our internal control over financial reporting. If we are unable to maintain effective internal controls, the accuracy and timeliness of our financial reporting may be materially adversely affected, which could cause the market price of our common stock to decline, lessen investor confidence and harm our business</w:t>
      </w:r>
      <w:r>
        <w:rPr>
          <w:rFonts w:ascii="Times New Roman" w:hAnsi="Times New Roman"/>
          <w:color w:val="010302"/>
          <w:sz w:val="20"/>
        </w:rPr>
        <w:t>.</w:t>
      </w:r>
    </w:p>
    <w:p>
      <w:pPr>
        <w:pStyle w:val="TextBody"/>
        <w:bidi w:val="0"/>
        <w:spacing w:before="200" w:after="283"/>
        <w:jc w:val="both"/>
        <w:rPr>
          <w:rFonts w:ascii="Times New Roman" w:hAnsi="Times New Roman"/>
          <w:sz w:val="20"/>
        </w:rPr>
      </w:pPr>
      <w:r>
        <w:rPr>
          <w:rFonts w:ascii="Times New Roman" w:hAnsi="Times New Roman"/>
          <w:color w:val="010302"/>
          <w:sz w:val="20"/>
        </w:rPr>
        <w:t>We previously identified a material weakness in our internal control over financial reporting related to our controls around the accounting for certain complex transactions that were not effectively designed or maintained.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 During 2025, we implemented a series of remediation measures designed to address the identified material weakness and after completing testing of the design and operating effectiveness of the new controls, we concluded that the identified material weakness was fully remediated as of September 30, 2025.</w:t>
      </w:r>
      <w:r>
        <w:rPr>
          <w:rFonts w:ascii="Times New Roman" w:hAnsi="Times New Roman"/>
          <w:color w:val="000000"/>
          <w:sz w:val="20"/>
        </w:rPr>
        <w:t xml:space="preserve"> Although we have remediated this material weakness, we may identify additional material weaknesses or other deficiencies in the future or otherwise fail to maintain an effective system of internal control.</w:t>
      </w:r>
    </w:p>
    <w:p>
      <w:pPr>
        <w:pStyle w:val="TextBody"/>
        <w:bidi w:val="0"/>
        <w:spacing w:before="200" w:after="283"/>
        <w:jc w:val="both"/>
        <w:rPr>
          <w:rFonts w:ascii="Times New Roman" w:hAnsi="Times New Roman"/>
          <w:sz w:val="20"/>
        </w:rPr>
      </w:pPr>
      <w:r>
        <w:rPr>
          <w:rFonts w:ascii="Times New Roman" w:hAnsi="Times New Roman"/>
          <w:color w:val="010302"/>
          <w:sz w:val="20"/>
        </w:rPr>
        <w:t xml:space="preserve">We are required, pursuant to Section 404 of the Sarbanes-Oxley Act, to furnish a report by management on, among other things, the effectiveness of its internal control over financial reporting in our future Annual Reports on Form 10-K to be filed with the SEC beginning with the second annual report following our IPO. Failure to comply with the Sarbanes-Oxley Act could potentially subject us to sanctions or investigations by the SEC, or other regulatory authorities, which would require additional financial and management resources. However, for as long as we are an emerging growth company under the Jumpstart Our Business Startups Act of 2012, as amended (the </w:t>
      </w:r>
      <w:r>
        <w:rPr>
          <w:rFonts w:ascii="Times New Roman" w:hAnsi="Times New Roman"/>
          <w:color w:val="000000"/>
          <w:sz w:val="20"/>
        </w:rPr>
        <w:t>“</w:t>
      </w:r>
      <w:r>
        <w:rPr>
          <w:rFonts w:ascii="Times New Roman" w:hAnsi="Times New Roman"/>
          <w:color w:val="010302"/>
          <w:sz w:val="20"/>
        </w:rPr>
        <w:t>JOBS Act</w:t>
      </w:r>
      <w:r>
        <w:rPr>
          <w:rFonts w:ascii="Times New Roman" w:hAnsi="Times New Roman"/>
          <w:color w:val="000000"/>
          <w:sz w:val="20"/>
        </w:rPr>
        <w:t>”</w:t>
      </w:r>
      <w:r>
        <w:rPr>
          <w:rFonts w:ascii="Times New Roman" w:hAnsi="Times New Roman"/>
          <w:color w:val="010302"/>
          <w:sz w:val="20"/>
        </w:rPr>
        <w:t>), our independent registered public accounting firm will not be required to attest to the effectiveness of its internal control over financial reporting pursuant to Section 404 of the Sarbanes-Oxley Act.</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If we are unable to conclude on an ongoing basis that we have effective internal control over financial reporting in accordance with Section 404, our independent registered public accounting firm may not issue an unqualified opinion. If we are unable to conclude that we have effective internal control over financial reporting, investors could lose confidence in our reported financial information, which could have a material adverse effect on the trading price of our common stock.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00" w:after="283"/>
        <w:jc w:val="both"/>
        <w:rPr>
          <w:rFonts w:ascii="Times New Roman" w:hAnsi="Times New Roman"/>
          <w:sz w:val="20"/>
        </w:rPr>
      </w:pPr>
      <w:r>
        <w:rPr>
          <w:rFonts w:ascii="Times New Roman" w:hAnsi="Times New Roman"/>
          <w:b/>
          <w:color w:val="010302"/>
          <w:sz w:val="20"/>
        </w:rPr>
        <w:t>Risks Related to Litigation and Regulation</w:t>
      </w:r>
      <w:r>
        <w:rPr>
          <w:rFonts w:ascii="Times New Roman" w:hAnsi="Times New Roman"/>
          <w:color w:val="010302"/>
          <w:sz w:val="20"/>
        </w:rPr>
        <w:t xml:space="preserve"> </w:t>
      </w:r>
    </w:p>
    <w:p>
      <w:pPr>
        <w:pStyle w:val="TextBody"/>
        <w:bidi w:val="0"/>
        <w:spacing w:before="200" w:after="283"/>
        <w:jc w:val="both"/>
        <w:rPr>
          <w:rFonts w:ascii="Times New Roman" w:hAnsi="Times New Roman"/>
          <w:sz w:val="20"/>
        </w:rPr>
      </w:pPr>
      <w:r>
        <w:rPr>
          <w:rFonts w:ascii="Times New Roman" w:hAnsi="Times New Roman"/>
          <w:b/>
          <w:i/>
          <w:color w:val="010302"/>
          <w:sz w:val="20"/>
        </w:rPr>
        <w:t>Our business is subject to various regulatory risks that could adversely affect our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The environment in which we operate is highly regulated due to the sensitive nature of our complex and technologically advanced systems, including launch vehicles, landers, orbital vehicles, and related components, and the fact that we contract with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national security and defense customers, in addition to those regulations broadly applicable to publicly traded corporations. There are numerous regulatory risks that could adversely affect operations, including but not limited to: </w:t>
      </w:r>
    </w:p>
    <w:p>
      <w:pPr>
        <w:pStyle w:val="TextBody"/>
        <w:bidi w:val="0"/>
        <w:spacing w:before="200" w:after="283"/>
        <w:jc w:val="both"/>
        <w:rPr>
          <w:rFonts w:ascii="Times New Roman" w:hAnsi="Times New Roman"/>
          <w:sz w:val="20"/>
        </w:rPr>
      </w:pPr>
      <w:r>
        <w:rPr>
          <w:rFonts w:ascii="Times New Roman" w:hAnsi="Times New Roman"/>
          <w:i/>
          <w:color w:val="010302"/>
          <w:sz w:val="20"/>
        </w:rPr>
        <w:t>Changes in Laws and Regulations.</w:t>
      </w:r>
      <w:r>
        <w:rPr>
          <w:rFonts w:ascii="Times New Roman" w:hAnsi="Times New Roman"/>
          <w:color w:val="010302"/>
          <w:sz w:val="20"/>
        </w:rPr>
        <w:t xml:space="preserve"> It is possible that the laws and regulations governing our business and operations will change in the future. While our current revenue is generated exclusively within the U.S., we are committed to expanding into the global market and enhancing our growth potential. There may be a material adverse effect on our financial condition and results of operations if we are required to alter our business to comply with changes in both domestic and foreign regulations, tariffs, or taxes and other trade barriers that reduce or restrict our ability to sell our products and services on a global basis, or by political and economic instability in the countries in which we conduct business. Any failure to comply with such regulatory requirements could also subject us to various penalties or sanctions. </w:t>
      </w:r>
    </w:p>
    <w:p>
      <w:pPr>
        <w:pStyle w:val="TextBody"/>
        <w:bidi w:val="0"/>
        <w:spacing w:before="200" w:after="283"/>
        <w:jc w:val="both"/>
        <w:rPr>
          <w:rFonts w:ascii="Times New Roman" w:hAnsi="Times New Roman"/>
          <w:sz w:val="20"/>
        </w:rPr>
      </w:pPr>
      <w:r>
        <w:rPr>
          <w:rFonts w:ascii="Times New Roman" w:hAnsi="Times New Roman"/>
          <w:i/>
          <w:color w:val="010302"/>
          <w:sz w:val="20"/>
        </w:rPr>
        <w:t xml:space="preserve">Import and Export Restrictions. </w:t>
      </w:r>
      <w:r>
        <w:rPr>
          <w:rFonts w:ascii="Times New Roman" w:hAnsi="Times New Roman"/>
          <w:color w:val="010302"/>
          <w:sz w:val="20"/>
        </w:rPr>
        <w:t xml:space="preserve">Our business is subject to stringent U.S. import and export control laws and regulations as well as economic sanctions laws and regulations. We are required to import and export our products, software, technology, and services, as well as run our operations in the United States, in full compliance with such laws and regulations, which include the EAR, the ITAR, and economic sanctions administered by the Treasury Department’s OFAC. Although our operations and customers are primarily based in the U.S., certain of our launch vehicles, landers, spacecraft and vehicle components, systems, services, or technologies we have developed have required, and may in the future require, the implementation or acquisition of products or technologies from third parties and affiliates, including those in other jurisdictions. In addition, certain of our launch vehicles, landers, spacecraft and vehicle components, systems, services, or technologies may be required to be forwarded, imported, or exported to other jurisdictions. In certain cases, if the use of such technologies can be viewed by the jurisdiction in which that supplier, subcontractor or affiliate resides as being subject to import or export constraints or restrictions relating to national security, we may not be able to obtain the technologies and products that we require from subcontractors and suppliers who would otherwise be our preferred choice or may not be able to obtain the export permits necessary to transfer or export our technology. The inability to obtain or maintain export approvals and export restrictions or changes during contract execution or non-compliance by our suppliers, subcontractors, and customers, could have an adverse effect on our revenues and margins. Further, we have had, and may in the future have, inadvertent disclosures of certain of our products or components that are subject to the requirements of U.S. import and export control laws, and may be found to be in violation of these laws and regulations, which could have a material adverse effect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i/>
          <w:color w:val="010302"/>
          <w:sz w:val="20"/>
        </w:rPr>
        <w:t xml:space="preserve">U.S. Government Approval Requirements. </w:t>
      </w:r>
      <w:r>
        <w:rPr>
          <w:rFonts w:ascii="Times New Roman" w:hAnsi="Times New Roman"/>
          <w:color w:val="010302"/>
          <w:sz w:val="20"/>
        </w:rPr>
        <w:t xml:space="preserve">For certain aspects of our business operations, we are required to obtain U.S. government licenses and approvals and to enter into agreements with various government bodies to export launch vehicles, landers, orbital vehicles, and related components, to disclose technical data, or provide defense services to foreign persons. The delayed receipt of or the failure to obtain the necessary U.S. government licenses, approvals, and agreements may prohibit entry into or interrupt the completion of contracts which could lead to a customer’s termination of a contract for default or monetary penalties, which could materially adversely affect our financial condition and results of operations. Given the great discretion the government has in issuing or denying such authorizations to advance U.S. national security and foreign policy interests, there can be no assurance we will be successful in our future efforts to secure and maintain necessary licenses, registrations, or other U.S. government regulatory approvals. Under the “Exon-Florio Amendment” to the U.S. Defense Production Act of 1950, as amended (the “DPA”), the U.S. President has the power to disrupt or block certain foreign investments in U.S. businesses if he or she determines that such a transaction threatens U.S. national security. The Committee on Foreign Investment in the United States (“CFIUS”) has been delegated the authority to conduct national security reviews of certain foreign investments. CFIUS may impose mitigation conditions to grant clearance of a transaction. The Foreign Investment Risk Review Modernization Act (“FIRRMA”), enacted in 2018, amended the DPA to, among other things, expands CFIUS’s jurisdiction beyond acquisitions of control of U.S. businesses. Under FIRRMA, CFIUS also has jurisdiction over certain foreign non-controlling investments in U.S. businesses that have involvement with critical technology or critical infrastructure, or that collect and maintain sensitive personal data of U.S. citizens (“TID U.S. Businesses”), if the foreign investor receives specified triggering rights in connection with its investment. We are a TID U.S. Business because we develop and design technologies that would be considered critical technologies. Certain foreign investments in TID U.S. Businesses are subject to mandatory filing with CFIUS. These restrictions on the ability of foreign persons to invest in us has in the past, and could in the future, limit our ability to engage in strategic transactions that could benefit our stockholders, including a change of control, and could also affect the price that an investor may be willing to pay for our common stock. </w:t>
      </w:r>
    </w:p>
    <w:p>
      <w:pPr>
        <w:pStyle w:val="TextBody"/>
        <w:bidi w:val="0"/>
        <w:spacing w:before="200" w:after="283"/>
        <w:jc w:val="both"/>
        <w:rPr>
          <w:rFonts w:ascii="Times New Roman" w:hAnsi="Times New Roman"/>
          <w:sz w:val="20"/>
        </w:rPr>
      </w:pPr>
      <w:r>
        <w:rPr>
          <w:rFonts w:ascii="Times New Roman" w:hAnsi="Times New Roman"/>
          <w:i/>
          <w:color w:val="010302"/>
          <w:sz w:val="20"/>
        </w:rPr>
        <w:t xml:space="preserve">Other Government Regulations. </w:t>
      </w:r>
      <w:r>
        <w:rPr>
          <w:rFonts w:ascii="Times New Roman" w:hAnsi="Times New Roman"/>
          <w:color w:val="010302"/>
          <w:sz w:val="20"/>
        </w:rPr>
        <w:t xml:space="preserve">Our ability to pursue our business activities is regulated by various agencies and departments of the U.S. government and the governments of other countries. Commercial space launch activities require licenses from the Department of Transportation and, for launches from Esrange Space Center, the SSC. Our license to conduct launches at Esrange Space Center requires certification of our flight termination system software by NASA. Radio communications for launch activities and spacecraft operations require licenses from the FCC and/or the Swedish National Space Agency and frequency coordination with the International Telecommunication Union. The operation of private remote sensing space systems requires a license from the Department of Commerce. Any failure to comply with these and other regulatory requirements could subject us to various penalties or sanctions and could have a significant adverse effect on our reputation, financial condition, and results of operations.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i/>
          <w:color w:val="010302"/>
          <w:sz w:val="20"/>
        </w:rPr>
        <w:t xml:space="preserve">Competitive Impact of U.S. Regulations. </w:t>
      </w:r>
      <w:r>
        <w:rPr>
          <w:rFonts w:ascii="Times New Roman" w:hAnsi="Times New Roman"/>
          <w:color w:val="010302"/>
          <w:sz w:val="20"/>
        </w:rPr>
        <w:t xml:space="preserve">Export and import control, economic sanction, and trade embargo laws and regulations, including those administered by the U.S. Department of Commerce’s Bureau of Industry and Security, the U.S. State Department’s Directorate of Defense Trade Controls and the U.S. Treasury Department’s Office of Foreign Assets Control, including, but not limited to, the ITAR and EAR, may limit certain business opportunities or delay or restrict our ability to contract with potential foreign customers or suppliers. To the extent that our non-U.S. competitors are not currently or in the future subject to similar export and import controls, economic sanctions, and trade embargo laws and regulations, they may enjoy a competitive advantage with foreign customers, and it could become increasingly difficult for us to recapture this lost market share. </w:t>
      </w:r>
    </w:p>
    <w:p>
      <w:pPr>
        <w:pStyle w:val="TextBody"/>
        <w:bidi w:val="0"/>
        <w:spacing w:before="200" w:after="283"/>
        <w:jc w:val="both"/>
        <w:rPr>
          <w:rFonts w:ascii="Times New Roman" w:hAnsi="Times New Roman"/>
          <w:sz w:val="20"/>
        </w:rPr>
      </w:pPr>
      <w:r>
        <w:rPr>
          <w:rFonts w:ascii="Times New Roman" w:hAnsi="Times New Roman"/>
          <w:i/>
          <w:color w:val="010302"/>
          <w:sz w:val="20"/>
        </w:rPr>
        <w:t>Anti-Corruption Laws</w:t>
      </w:r>
      <w:r>
        <w:rPr>
          <w:rFonts w:ascii="Times New Roman" w:hAnsi="Times New Roman"/>
          <w:color w:val="010302"/>
          <w:sz w:val="20"/>
        </w:rPr>
        <w:t xml:space="preserve">. As part of the regulatory and legal environments in which we operate, we are subject to domestic and international anti- corruption laws, including the U.S. Foreign Corrupt Practices Act (the “FCPA”) that prohibit improper payments directly or indirectly to government officials, authorities or persons defined in those anti-corruption laws in order to obtain or retain business or other improper advantages in the conduct of business. Our policies mandate compliance with anti-corruption laws. Failure by our employees, agents, subcontractors, suppliers and/or existing or future partners to comply with anti-corruption laws and our policies could impact us in various ways that include, but are not limited to, criminal, civil and administrative fines and/or legal sanctions and the inability to bid for or enter into contracts with certain entities, all of which could have a significant adverse effect on our reputation, operations, and financial results. Our exposure for violating these laws will increase as our international presence expands and as we increase sales and operations in foreign jurisdictions. </w:t>
      </w:r>
    </w:p>
    <w:p>
      <w:pPr>
        <w:pStyle w:val="TextBody"/>
        <w:bidi w:val="0"/>
        <w:spacing w:before="200" w:after="283"/>
        <w:jc w:val="both"/>
        <w:rPr>
          <w:rFonts w:ascii="Times New Roman" w:hAnsi="Times New Roman"/>
          <w:sz w:val="20"/>
        </w:rPr>
      </w:pPr>
      <w:r>
        <w:rPr>
          <w:rFonts w:ascii="Times New Roman" w:hAnsi="Times New Roman"/>
          <w:b/>
          <w:i/>
          <w:color w:val="010302"/>
          <w:sz w:val="20"/>
        </w:rPr>
        <w:t>Our business is subject to federal, state, and international laws regarding data protection, privacy, and information security, as well as</w:t>
      </w:r>
      <w:r>
        <w:rPr>
          <w:rFonts w:ascii="Times New Roman" w:hAnsi="Times New Roman"/>
          <w:color w:val="010302"/>
          <w:sz w:val="20"/>
        </w:rPr>
        <w:t xml:space="preserve"> </w:t>
      </w:r>
      <w:r>
        <w:rPr>
          <w:rFonts w:ascii="Times New Roman" w:hAnsi="Times New Roman"/>
          <w:b/>
          <w:i/>
          <w:color w:val="010302"/>
          <w:sz w:val="20"/>
        </w:rPr>
        <w:t>confidentiality obligations under various agreements, and our actual or perceived failure to comply with such obligations could damage our</w:t>
      </w:r>
      <w:r>
        <w:rPr>
          <w:rFonts w:ascii="Times New Roman" w:hAnsi="Times New Roman"/>
          <w:color w:val="010302"/>
          <w:sz w:val="20"/>
        </w:rPr>
        <w:t xml:space="preserve"> </w:t>
      </w:r>
      <w:r>
        <w:rPr>
          <w:rFonts w:ascii="Times New Roman" w:hAnsi="Times New Roman"/>
          <w:b/>
          <w:i/>
          <w:color w:val="010302"/>
          <w:sz w:val="20"/>
        </w:rPr>
        <w:t>reputation, expose us to litigation risk and materially adversely affect our business and operating results.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In connection with our business, we receive, collect, process, and retain certain personal information about our customers, vendors, and employees. As a result, we are subject to the evolving and increasingly complex data protection laws and regulatory frameworks of the jurisdictions in which we operate or conduct our business, including to state comprehensive privacy laws, such as the California Consumer Privacy Act, as amended by the California Privacy Rights Act (collectively, the “CCPA”), the General Data Protection Regulation (“GDPR”), and the U.K. General Data Protection Regulation (“U.K. GDPR”) (collectively, “Data Protection Laws”). These laws impose obligations in relation to the collection, use, and disclosure of personal information, including providing customers with certain rights to access, correct, delete, and restrict the processing of their personal information. Failure to comply with applicable laws may result in regulatory scrutiny, enforcement actions, fines, litigation, or other liabilities or costs, and the evolving complexity of the privacy landscape could impact our ability to collect, use or disclose personal information, decrease demand for our products, require us to restrict our business operations, increase our costs, and impair our ability to maintain and grow our customer base and increase our revenue.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are also subject to the DoW Cybersecurity Maturity Model Certification (“CMMC”) requirements, which requires companies that do business with the DoW to, depending on the level of security required, meet, or exceed certain specified cybersecurity standards to be eligible for new contract awards. The DoW expects that nearly all new contracts will be required to comply with the CMMC by 2026. We are currently CMMC Level 2 compliant; however, to the extent we are unable to achieve or maintain certification at the level required for a particular contract award, we will be unable to bid on such contract awards or follow-on awards for existing work with the DoW, which could materially adversely impact our revenue, profitability, and cash flows. Additionally, our subcontractors, and certain of our vendors, may also need to comply with CMMC requirements. We may be negatively impacted if our subcontractors or vendors are not compliant with CMMC requirements. The obligations imposed on us under the CMMC may be different from, or in addition to those, otherwise required by the Data Protection Laws to which we are subject. The costs to comply with the new CMMC requirements are significant and may increase, which could materially adversely affect our business, financial condition, or results of operations. Failure to comply with CMMC requirements may also make us subject to bid protest challenges or False Claims Act allegations claiming damages to the government based on such non-compliance.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have implemented internal controls and procedures designed to comply with the Data Protection Laws to which we are subject, the CMMC and other applicable standards, as well as contractual obligations related to data protection. However, data protection laws, regulations, standards, and obligations are evolving and may be modified, replaced, interpreted, and applied in an inconsistent manner from one jurisdiction to another, and may conflict with one another, other requirements, or legal obligations. We cannot yet determine the impact that such modifications may have on our business. As such, our practices may not have complied with, and we cannot assure ongoing compliance with, all such laws or regulations and other legal obligations. Further, we expect that new industry standards, laws, and regulations will continue to be proposed regarding privacy, data protection, and information security in many jurisdictions. We cannot yet determine the impact that such future laws, regulations, and standards may have on our business. Our efforts to comply with these evolving obligations may cause us to incur significant costs or require changes to our business practices, which could materially adversely affect our business, financial condition, and results of operations. Any failure or perceived failure by us to comply with applicable laws or regulations, or other contractual or legal obligations, or to adequately address privacy and security concerns, even if unfounded, may result in governmental enforcement actions, private litigation (including class actions), fines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penalties or adverse publicity and could cause our customers to lose trust in us, which could have a material adverse effect on our reputation, inhibit sales, and materially adversely affect our business, financial condition, and results of operations.</w:t>
      </w:r>
    </w:p>
    <w:p>
      <w:pPr>
        <w:pStyle w:val="TextBody"/>
        <w:bidi w:val="0"/>
        <w:spacing w:before="200" w:after="283"/>
        <w:jc w:val="both"/>
        <w:rPr>
          <w:rFonts w:ascii="Times New Roman" w:hAnsi="Times New Roman"/>
          <w:sz w:val="20"/>
        </w:rPr>
      </w:pPr>
      <w:r>
        <w:rPr>
          <w:rFonts w:ascii="Times New Roman" w:hAnsi="Times New Roman"/>
          <w:b/>
          <w:i/>
          <w:color w:val="010302"/>
          <w:sz w:val="20"/>
        </w:rPr>
        <w:t>We may become involved in litigation that may materially adversely affect us.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From time to time, we have been and may in the future become involved in various legal proceedings relating to matters incidental to the ordinary course of our business, supplier, customer, or other third-party relationships,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The outcome of litigation, particularly class action lawsuits and regulatory actions, is difficult to assess or quantify, as plaintiffs may seek recovery of very large or indeterminate amounts in these types of lawsuits, and the magnitude of the potential loss may remain unknown for substantial periods of time. We can provide no assurance that litigation or disputes will not arise in the future. We may also choose to settle such actions if we believe that doing so is in our best interests, and the amount of such settlement could also have a material adverse effect on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Our business and operations could be negatively affected by securities litigation or stockholder activism, which could cause</w:t>
      </w:r>
      <w:r>
        <w:rPr>
          <w:rFonts w:ascii="Times New Roman" w:hAnsi="Times New Roman"/>
          <w:color w:val="010302"/>
          <w:sz w:val="20"/>
        </w:rPr>
        <w:t xml:space="preserve"> </w:t>
      </w:r>
      <w:r>
        <w:rPr>
          <w:rFonts w:ascii="Times New Roman" w:hAnsi="Times New Roman"/>
          <w:b/>
          <w:i/>
          <w:color w:val="010302"/>
          <w:sz w:val="20"/>
        </w:rPr>
        <w:t>us to incur significant expense, hinder execution of business and growth strategy, and impact our stock price.</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Our share price may be volatile and, in the past, companies that have experienced volatility in the market price of their stock have been subject to securities litigation, including class action litigation. Stockholder activism, which could take many forms or arise in a variety of situations, has been increasing recently.</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Volatility in the stock price of our common stock or other reasons may in the future cause us to become the target of securities litigation or stockholder activism. For example, on November 11, 2025, one of our purported stockholders filed a putative class action complaint in the United States District Court for the Western District of Texas, naming as defendants us and certain of our current and former directors and officers as defendants, and asserting claims for alleged violations of Sections 10(b) and 20(a) of the Exchange Act and Rule 10b-5 promulgated thereunder and Sections 11 and 15 of the Securities Act. Additionally, on December 23, 2025, one of our purported stockholders filed a complaint in the United States District Court for the Western District of Texas, seeking to pursue claims, purportedly on our behalf, against certain of our current and former directors and officers for alleged breaches of fiduciary duty and contribution under Section 21D of the Exchange Act and Section 11(f) of the Securities Act, among other common law causes of action, arising from substantially the same allegations at issue in the Securities Action.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pStyle w:val="TextBody"/>
        <w:bidi w:val="0"/>
        <w:spacing w:before="200" w:after="283"/>
        <w:jc w:val="both"/>
        <w:rPr>
          <w:rFonts w:ascii="Times New Roman" w:hAnsi="Times New Roman"/>
          <w:sz w:val="20"/>
        </w:rPr>
      </w:pPr>
      <w:r>
        <w:rPr>
          <w:rFonts w:ascii="Times New Roman" w:hAnsi="Times New Roman"/>
          <w:b/>
          <w:i/>
          <w:color w:val="010302"/>
          <w:sz w:val="20"/>
        </w:rPr>
        <w:t>Our business is subject to a wide variety of extensive and evolving government laws and regulations. Failure to comply with such laws and</w:t>
      </w:r>
      <w:r>
        <w:rPr>
          <w:rFonts w:ascii="Times New Roman" w:hAnsi="Times New Roman"/>
          <w:color w:val="010302"/>
          <w:sz w:val="20"/>
        </w:rPr>
        <w:t xml:space="preserve"> </w:t>
      </w:r>
      <w:r>
        <w:rPr>
          <w:rFonts w:ascii="Times New Roman" w:hAnsi="Times New Roman"/>
          <w:b/>
          <w:i/>
          <w:color w:val="010302"/>
          <w:sz w:val="20"/>
        </w:rPr>
        <w:t>regulations could have a material adverse effect on our business.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are subject to a wide variety of laws and regulations relating to various aspects of our business, including with respect to employment and labor, health care, tax, privacy and data security, health and safety, and environmental issues. The commercial space industry, particularly launch providers, are also subject to an array of laws and regulations, such as those imposed by the Department of Transportation and those relating to hazardous substances and waste. Laws and regulations at the foreign, federal, state, and local levels frequently change,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and regulations, we cannot guarantee that these measures will be satisfactory to regulators or other third parties, such as our customers.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 Failure to comply with these laws, such as with respect to obtaining and maintaining licenses, certificates, authorizations and permits critical for the operation of our business, may result in civil penalties or private lawsuits, or the suspension or revocation of licenses, certificates, authorizations or permits, which would prevent us from operating our business. For example, conducting commercial space launches in the United States require licenses and permits from certain agencies of the Department of Transportation, including the FAA, and review by other agencies of the U.S. government, including the DoW, Department of State,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NASA, and the FCC. License approval may include an interagency review of safety, operational, national security, and implications on foreign policy and international obligations, as well as a review of foreign ownership. Any delays in regulatory actions allowing us to conduct commercial space launches could adversely affect our ability to operate our business and our financial results.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Regulation of our industry is still evolving, and new or different laws or regulations could affect our operations, increase direct compliance costs for us or cause any third-party suppliers or contractors to raise the prices they charge us because of increased compliance costs.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 The regulatory approaches of different jurisdictions may be multi-layered and may be in conflict with one another, and our compliance could require alteration of our manufacturing processes or operational parameters which may adversely impact our business. We may not be in complete compliance with all such requirements at all times and, even when we believe we are in complete compliance, a regulatory agency may determine that we are not. In addition, the actions of third parties may cause us to fail to comply with certain requirements. We aim to produce our launch and spacecraft systems at an increasing rate over the near to medium term. A component of our near-term strategy involves increasing our launch cadence by accelerating our development and production efforts and adding additional launch sites. Our ability to achieve this increased launch cadence within the timeframe in which we hope to do so will depend on our ability to secure the necessary regulatory licenses from the FAA, the FCC, and other regulatory authorities. Our failure to obtain the licenses necessary to support our anticipated launch cadence, or any delays or hurdles that present in our interactions with the FAA, the FCC, or other regulatory authorities, could impact our ability to grow our business, could delay our ability to execute on our existing and future customer contracts and could adversely affect our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Contracting in the defense industry is subject to significant regulation, including rules related to bidding, billing, and accounting kickbacks and</w:t>
      </w:r>
      <w:r>
        <w:rPr>
          <w:rFonts w:ascii="Times New Roman" w:hAnsi="Times New Roman"/>
          <w:color w:val="010302"/>
          <w:sz w:val="20"/>
        </w:rPr>
        <w:t xml:space="preserve"> </w:t>
      </w:r>
      <w:r>
        <w:rPr>
          <w:rFonts w:ascii="Times New Roman" w:hAnsi="Times New Roman"/>
          <w:b/>
          <w:i/>
          <w:color w:val="010302"/>
          <w:sz w:val="20"/>
        </w:rPr>
        <w:t>false claims, and any non-compliance could subject us to fines and penalties or possible debarment.</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Like all government contractors, we are subject to risks associated with this contracting. These risks include the potential for substantial civil and criminal fines and penalties. These fines and penalties could be imposed for failing to follow procurement integrity and bidding rules, employing improper billing practices, or otherwise failing to follow cost accounting standards, receiving, or paying kickbacks or filing false claims. We have been, and expect to continue to be, subjected to audits and investigations by government agencies. The failure to comply with the terms of our government contracts could harm our business reputation, which could significantly reduce our sales and earnings. It could also result in our suspension or debarment from future government contracts, which could materially adversely affect our business, financial condition, and results of operations. In addition, we could be subject to criminal or civil penalties or administrative sanctions, including contract termination, breach of contract actions including related damages, fines, forfeiture of fees, suspension of payment, and civil False Claims Act allegations (which can include civil penalties and treble damages), any of which could materially adversely affect our reputation, business, financial condition, and results of operations. </w:t>
      </w:r>
    </w:p>
    <w:p>
      <w:pPr>
        <w:pStyle w:val="TextBody"/>
        <w:bidi w:val="0"/>
        <w:spacing w:before="200" w:after="283"/>
        <w:jc w:val="both"/>
        <w:rPr>
          <w:rFonts w:ascii="Times New Roman" w:hAnsi="Times New Roman"/>
          <w:sz w:val="20"/>
        </w:rPr>
      </w:pPr>
      <w:r>
        <w:rPr>
          <w:rFonts w:ascii="Times New Roman" w:hAnsi="Times New Roman"/>
          <w:b/>
          <w:i/>
          <w:color w:val="010302"/>
          <w:sz w:val="20"/>
        </w:rPr>
        <w:t>We are subject to procurement rules and regulations, which increase our performance and compliance costs under our U.S. government contracts.</w:t>
      </w:r>
      <w:r>
        <w:rPr>
          <w:rFonts w:ascii="Times New Roman" w:hAnsi="Times New Roman"/>
          <w:color w:val="010302"/>
          <w:sz w:val="20"/>
        </w:rPr>
        <w:t xml:space="preserve"> </w:t>
      </w:r>
      <w:r>
        <w:rPr>
          <w:rFonts w:ascii="Times New Roman" w:hAnsi="Times New Roman"/>
          <w:b/>
          <w:i/>
          <w:color w:val="010302"/>
          <w:sz w:val="20"/>
        </w:rPr>
        <w:t>Our failure to comply with various complex procurement rules and regulations could result in our being liable for penalties, including termination</w:t>
      </w:r>
      <w:r>
        <w:rPr>
          <w:rFonts w:ascii="Times New Roman" w:hAnsi="Times New Roman"/>
          <w:color w:val="010302"/>
          <w:sz w:val="20"/>
        </w:rPr>
        <w:t xml:space="preserve"> </w:t>
      </w:r>
      <w:r>
        <w:rPr>
          <w:rFonts w:ascii="Times New Roman" w:hAnsi="Times New Roman"/>
          <w:b/>
          <w:i/>
          <w:color w:val="010302"/>
          <w:sz w:val="20"/>
        </w:rPr>
        <w:t>of our U.S. government contracts, disqualification from bidding on future U.S. government contracts, civil False Claims Act allegations, and suspension or debarment from U.S. government contracting.</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must comply with laws and regulations relating to the formation, administration, and performance of U.S. government contracts, which affect how we do business with our customers. These laws and regulations may require, among other things, certification and disclosure of all cost and pricing data in connection with contract negotiation, define allowable and unallowable costs and otherwise govern our right to reimbursement under certain cost-based U.S. government contracts, and restrict the use and dissemination of classified information and the exportation of certain products and technical data. Such laws and regulations may impose added costs on our business and our failure to comply with them, or the failure of our agents’ to comply with them, may lead to civil or criminal penalties, termination of our U.S. government contracts, civil False Claims Act allegations (which can include civil penalties and treble damages), suspension or debarment from contracting with federal agencies and could have a material adverse effect on our reputation and ability to receive other U.S. government contract awards in the future. Government contract laws and regulations can impose terms or obligations that are different than those typically found in commercial transactions. One of the significant differences is that the U.S. government may terminate any of our government contracts, not only for default based on our performance but also at its convenience. Generally, prime contractors have a similar right under subcontracts related to government contracts. If a contract is terminated for convenience, we typically would be entitled to receive payments for our allowable costs incurred and the proportionate share of fees or earnings for the work performed. If a contract is terminated for default, the U.S. government could make claims to reduce the contract value or recover its procurement costs and could assess other special penalties, exposing us to liability and materially adversely affecting our ability to compete for future contracts and orders. In addition, the U.S. government could terminate a prime contract under which we are a subcontractor, notwithstanding the fact that our performance and the quality of the products or services we delivered were consistent with our contractual obligations as a subcontractor. Similarly, the U.S. government could indirectly terminate a program or contract by not funding it. The decision to terminate programs or contracts for convenience or default could materially adversely affect our business, financial condition, and results of operations.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10302"/>
          <w:sz w:val="20"/>
        </w:rPr>
        <w:t>Laws and regulations designed to address climate change may result in additional compliance costs.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Our operations and the products we sell are currently subject to rules limiting emissions and to other climate-related regulations in certain jurisdictions where we operate. The increased prevalence of global climate change concerns may result in new regulations that may negatively impact us, our suppliers, and customers. We are continuing to evaluate short-, medium- and long-term risks related to climate change. We cannot predict what climate-related legislation or regulations will be enacted in the future, how existing or future laws or regulations will be administered or interpreted, or what environmental conditions may be found to exist. Compliance with any new or more stringent laws or regulations, or stricter interpretations of existing laws, could require additional expenditures by us or our suppliers, in which case, the costs of raw materials and component parts could increase. </w:t>
      </w:r>
    </w:p>
    <w:p>
      <w:pPr>
        <w:pStyle w:val="TextBody"/>
        <w:bidi w:val="0"/>
        <w:spacing w:before="200" w:after="283"/>
        <w:jc w:val="both"/>
        <w:rPr>
          <w:rFonts w:ascii="Times New Roman" w:hAnsi="Times New Roman"/>
          <w:sz w:val="20"/>
        </w:rPr>
      </w:pPr>
      <w:r>
        <w:rPr>
          <w:rFonts w:ascii="Times New Roman" w:hAnsi="Times New Roman"/>
          <w:b/>
          <w:i/>
          <w:color w:val="010302"/>
          <w:sz w:val="20"/>
        </w:rPr>
        <w:t>New sustainability and climate-related disclosure obligations, including those resulting from the State of California’s Climate Corporate Data</w:t>
      </w:r>
      <w:r>
        <w:rPr>
          <w:rFonts w:ascii="Times New Roman" w:hAnsi="Times New Roman"/>
          <w:color w:val="010302"/>
          <w:sz w:val="20"/>
        </w:rPr>
        <w:t xml:space="preserve"> </w:t>
      </w:r>
      <w:r>
        <w:rPr>
          <w:rFonts w:ascii="Times New Roman" w:hAnsi="Times New Roman"/>
          <w:b/>
          <w:i/>
          <w:color w:val="010302"/>
          <w:sz w:val="20"/>
        </w:rPr>
        <w:t>Accountability Act and Climate-Related Financial Risk Act, among others, could result in unforeseen costs associated with compliance, government</w:t>
      </w:r>
      <w:r>
        <w:rPr>
          <w:rFonts w:ascii="Times New Roman" w:hAnsi="Times New Roman"/>
          <w:color w:val="010302"/>
          <w:sz w:val="20"/>
        </w:rPr>
        <w:t xml:space="preserve"> </w:t>
      </w:r>
      <w:r>
        <w:rPr>
          <w:rFonts w:ascii="Times New Roman" w:hAnsi="Times New Roman"/>
          <w:b/>
          <w:i/>
          <w:color w:val="010302"/>
          <w:sz w:val="20"/>
        </w:rPr>
        <w:t>and third-party claims, operations, and increased reputational and litigation risk.</w:t>
      </w:r>
      <w:r>
        <w:rPr>
          <w:rFonts w:ascii="Times New Roman" w:hAnsi="Times New Roman"/>
          <w:color w:val="010302"/>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10302"/>
          <w:sz w:val="20"/>
        </w:rPr>
        <w:t xml:space="preserve">We may be subject to rulemaking regarding corporate social responsibility and/or disclosure, as public awareness and focus on social and environmental issues has led to legislative and regulatory efforts to impose or increase regulations and require further disclosure. We operate in various jurisdictions in the U.S. that have adopted or proposed federal and state laws related to sustainability and climate change reporting. For example, the Governor of California signed the Climate Corporate Data Accountability Act (the “CCDAA” or “SB 253”), into law in October 2023, alongside the Climate-Related Financial Risk Act (“CRFRA” or </w:t>
      </w:r>
      <w:r>
        <w:rPr>
          <w:rFonts w:ascii="Times New Roman" w:hAnsi="Times New Roman"/>
          <w:color w:val="000000"/>
          <w:sz w:val="20"/>
        </w:rPr>
        <w:t>“</w:t>
      </w:r>
      <w:r>
        <w:rPr>
          <w:rFonts w:ascii="Times New Roman" w:hAnsi="Times New Roman"/>
          <w:color w:val="010302"/>
          <w:sz w:val="20"/>
        </w:rPr>
        <w:t xml:space="preserve">SB 261”). The CCDAA requires both public and private U.S. companies that are “doing business in California” and that have a total annual revenue of $1 billion to publicly disclose and verify, on an annual basis, Scope 1, 2 and 3 GHG emissions. The CRFRA requires the disclosure of a climate-related financial risk report (in line with the Task Force on the Climate-related Financial Disclosures recommendations or equivalent disclosure requirements under the International Sustainability Standards Board’s climate-related disclosure standards) every other year for public and private companies that are “doing business in California” and have total annual revenue of $500 million. Reporting under both laws was scheduled to begin in 2026, though the Governor of California has directed further consideration of the implementation deadlines for each of the laws. Both laws have been challenged in federal court. </w:t>
      </w:r>
      <w:r>
        <w:rPr>
          <w:rFonts w:ascii="Times New Roman" w:hAnsi="Times New Roman"/>
          <w:color w:val="000000"/>
          <w:sz w:val="20"/>
        </w:rPr>
        <w:t>A temporary injunction halting the enforcement of CRFRA is currently pending a constitutional appeal.</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We are currently assessing the potential impacts of these laws, as well as other sustainability and climate-related disclosure obligations and evolving legal and regulatory requirements, that we may be subject to. The adopted or proposed laws could impose significant new burdens on us and our suppliers, with significant potential costs and operational impacts, and restrict access to capital if our disclosures are not perceived as meeting applicable third-party verification standards. Our failure to adequately comply with such disclosure obligations could jeopardize our competitive position and ability to win business, as well as adversely affect our results of operations and financial condition. Separately, enhanced sustainability and climate-related disclosure requirements could lead to reputational or other harm to our relationships with customers, regulators, investors, or other stakeholders. We may also face increased litigation risks arising from enhanced sustainability and climate-related disclosure requirements relating to alleged damages resulting from our reported or projected GHG emissions or statements allegedly made by us or others in our industry regarding social and climate change risks. </w:t>
      </w:r>
    </w:p>
    <w:p>
      <w:pPr>
        <w:pStyle w:val="TextBody"/>
        <w:bidi w:val="0"/>
        <w:spacing w:before="200" w:after="283"/>
        <w:jc w:val="both"/>
        <w:rPr>
          <w:rFonts w:ascii="Times New Roman" w:hAnsi="Times New Roman"/>
          <w:sz w:val="20"/>
        </w:rPr>
      </w:pPr>
      <w:r>
        <w:rPr>
          <w:rFonts w:ascii="Times New Roman" w:hAnsi="Times New Roman"/>
          <w:b/>
          <w:i/>
          <w:color w:val="010302"/>
          <w:sz w:val="20"/>
        </w:rPr>
        <w:t>We are subject to complex tax laws, and changes in tax laws or in positions by the relevant tax authorities regarding the application, administration</w:t>
      </w:r>
      <w:r>
        <w:rPr>
          <w:rFonts w:ascii="Times New Roman" w:hAnsi="Times New Roman"/>
          <w:color w:val="010302"/>
          <w:sz w:val="20"/>
        </w:rPr>
        <w:t xml:space="preserve"> </w:t>
      </w:r>
      <w:r>
        <w:rPr>
          <w:rFonts w:ascii="Times New Roman" w:hAnsi="Times New Roman"/>
          <w:b/>
          <w:i/>
          <w:color w:val="010302"/>
          <w:sz w:val="20"/>
        </w:rPr>
        <w:t>or interpretation of tax laws or regulations, particularly if applied retrospectively, or challenges to our tax position could adversely affect our</w:t>
      </w:r>
      <w:r>
        <w:rPr>
          <w:rFonts w:ascii="Times New Roman" w:hAnsi="Times New Roman"/>
          <w:color w:val="010302"/>
          <w:sz w:val="20"/>
        </w:rPr>
        <w:t xml:space="preserve"> </w:t>
      </w:r>
      <w:r>
        <w:rPr>
          <w:rFonts w:ascii="Times New Roman" w:hAnsi="Times New Roman"/>
          <w:b/>
          <w:i/>
          <w:color w:val="010302"/>
          <w:sz w:val="20"/>
        </w:rPr>
        <w:t>financial condition and results of operations.</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Tax laws are complex and subject to subjective evaluations and interpretative decisions, and we may be subject in the future to tax audits aimed at addressing our compliance with direct and indirect taxes. Changes in tax laws could adversely affect our tax position, including our effective tax rate or tax payments. We often rely on generally available interpretations of applicable tax laws and regulations. We cannot be certain that the relevant tax authorities agree with our interpretation of these laws, or with the positions we have taken or intend to take, on tax laws applicable to our ordinary activity and extraordinary transactions. If our tax positions are challenged by relevant tax authorities, we could face long tax proceedings and the imposition of additional taxes or the denial of tax benefits could require us to pay taxes that we currently do not collect or pay or increase the cost of our services to track and collect such taxes. We cannot, therefore, rule out that claims by the tax authorities may give rise to burdensome and long tax litigation and to the payment of significant amounts for taxes, penalties, and interest for late payment. Any of these risks could increase our cost of operations or our effective tax rate and have a negative effect on our business, financial condition, operating results, and cash flows. </w:t>
      </w:r>
    </w:p>
    <w:p>
      <w:pPr>
        <w:pStyle w:val="TextBody"/>
        <w:bidi w:val="0"/>
        <w:spacing w:before="200" w:after="283"/>
        <w:jc w:val="both"/>
        <w:rPr>
          <w:rFonts w:ascii="Times New Roman" w:hAnsi="Times New Roman"/>
          <w:sz w:val="20"/>
        </w:rPr>
      </w:pPr>
      <w:r>
        <w:rPr>
          <w:rFonts w:ascii="Times New Roman" w:hAnsi="Times New Roman"/>
          <w:b/>
          <w:i/>
          <w:color w:val="010302"/>
          <w:sz w:val="20"/>
        </w:rPr>
        <w:t>Our ability to use our net operating loss carryforwards may be limited.</w:t>
      </w:r>
      <w:r>
        <w:rPr>
          <w:rFonts w:ascii="Times New Roman" w:hAnsi="Times New Roman"/>
          <w:color w:val="010302"/>
          <w:sz w:val="20"/>
        </w:rPr>
        <w:t xml:space="preserve"> </w:t>
      </w:r>
    </w:p>
    <w:p>
      <w:pPr>
        <w:pStyle w:val="TextBody"/>
        <w:bidi w:val="0"/>
        <w:spacing w:before="200" w:after="283"/>
        <w:jc w:val="both"/>
        <w:rPr>
          <w:rFonts w:ascii="Times New Roman" w:hAnsi="Times New Roman"/>
          <w:color w:val="010302"/>
          <w:sz w:val="20"/>
        </w:rPr>
      </w:pPr>
      <w:r>
        <w:rPr>
          <w:rFonts w:ascii="Times New Roman" w:hAnsi="Times New Roman"/>
          <w:color w:val="010302"/>
          <w:sz w:val="20"/>
        </w:rPr>
        <w:t xml:space="preserve">As of December 31, 2025, we had $595.4 million of U.S. federal and $240.7 million of U.S. state net operating loss (“NOL”) carryforwards available to reduce future taxable income. While the federal NOL carryforwards generally can be carried forward indefinitely except for $5.2 million that will expire in 2037, state NOL carryforwards begin to expire in the year ending December 31, 2039. It is possible that we will not generate taxable income in time to use these NOL carryforwards before their expiration or at all.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10302"/>
          <w:sz w:val="20"/>
        </w:rPr>
        <w:t xml:space="preserve">Under legislative changes made in December 2017, U.S. federal NOL carryforwards incurred in 2018 and in future years may be carried forward indefinitely, but the deductibility of such NOL carryforwards is limited. In addition, the federal and state NOL carryforwards and certain tax credits may be subject to significant limitations under Section 382 and Section 383 of the Internal Revenue Code (the </w:t>
      </w:r>
      <w:r>
        <w:rPr>
          <w:rFonts w:ascii="Times New Roman" w:hAnsi="Times New Roman"/>
          <w:color w:val="000000"/>
          <w:sz w:val="20"/>
        </w:rPr>
        <w:t>“</w:t>
      </w:r>
      <w:r>
        <w:rPr>
          <w:rFonts w:ascii="Times New Roman" w:hAnsi="Times New Roman"/>
          <w:color w:val="010302"/>
          <w:sz w:val="20"/>
        </w:rPr>
        <w:t xml:space="preserve">Code”), respectively, and similar provisions of state law. Under those sections of the Code, if a corporation undergoes an “ownership change,” the corporation’s ability to use its pre-change NOL carryforwards and to offset its post-change income or tax may be limited. In general, an “ownership change” will occur if there is a cumulative change in our ownership by “5-percent stockholders” that exceeds 50 percentage points over a rolling three-year period. Similar rules may apply under state tax laws. Future issuances or sales of our common stock, including certain transactions involving our common stock that are outside of our control, could result in future “ownership changes.” “Ownership changes” that have occurred in the past or that may occur in the future could result in the imposition of an annual limit on the amount of pre-ownership change NOL carryforwards and other tax attributes we can use to reduce our taxable income, potentially increasing and accelerating our liability for income taxes, and also potentially causing those tax attributes to expire unused. States may impose other limitations on the use of our NOL carryforwards. We may have undergone an ownership change within the previous five years, and we may undergo one in connection with future transactions. Any limitation on using NOL carryforwards could, depending on the extent of such limitation and the NOL carryforwards previously used, result in us retaining less cash after payment of U.S. federal and state income taxes during any year in which we have taxable income, rather than losses, than we would otherwise retain if such NOL carryforwards were available as an offset against such income for U.S. federal and state income tax purposes. As a result, such limitations on our NOL carryforwards could adversely impact our operating results. </w:t>
      </w:r>
    </w:p>
    <w:p>
      <w:pPr>
        <w:pStyle w:val="TextBody"/>
        <w:bidi w:val="0"/>
        <w:spacing w:before="200" w:after="200"/>
        <w:jc w:val="both"/>
        <w:rPr>
          <w:rFonts w:ascii="Times New Roman" w:hAnsi="Times New Roman"/>
          <w:b/>
          <w:color w:val="010302"/>
          <w:sz w:val="20"/>
        </w:rPr>
      </w:pPr>
      <w:r>
        <w:rPr>
          <w:rFonts w:ascii="Times New Roman" w:hAnsi="Times New Roman"/>
          <w:b/>
          <w:color w:val="010302"/>
          <w:sz w:val="20"/>
        </w:rPr>
        <w:t>Risks Related to Our Indebtedness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Our substantial indebtedness could materially adversely affect our financial condition.</w:t>
      </w:r>
    </w:p>
    <w:p>
      <w:pPr>
        <w:pStyle w:val="TextBody"/>
        <w:bidi w:val="0"/>
        <w:jc w:val="both"/>
        <w:rPr>
          <w:rFonts w:ascii="Times New Roman" w:hAnsi="Times New Roman"/>
          <w:sz w:val="20"/>
        </w:rPr>
      </w:pPr>
      <w:r>
        <w:rPr>
          <w:rFonts w:ascii="Times New Roman" w:hAnsi="Times New Roman"/>
          <w:color w:val="000000"/>
          <w:sz w:val="20"/>
        </w:rPr>
        <w:t>We have a substantial amount of indebtedness and may incur additional indebtedness in the future. On August 8, 2025</w:t>
      </w:r>
      <w:r>
        <w:rPr>
          <w:rFonts w:ascii="Times New Roman" w:hAnsi="Times New Roman"/>
          <w:color w:val="231F20"/>
          <w:sz w:val="20"/>
        </w:rPr>
        <w:t>,</w:t>
      </w:r>
      <w:r>
        <w:rPr>
          <w:rFonts w:ascii="Times New Roman" w:hAnsi="Times New Roman"/>
          <w:color w:val="000000"/>
          <w:sz w:val="20"/>
        </w:rPr>
        <w:t xml:space="preserve"> we entered into a new revolving credit agreement (the “New Credit Agreement”) providing for a senior secured revolving credit facility (the “Revolving Credit Facility”) in the aggregate principal amount of $125.0 million, including a sublimit for the issuance of letters of credit in an amount up to $15.0 million and a sublimit for swingline loans in an amount up to $7.5 million. On November 7, 2025, we amended the New Credit Agreement to, among other things, increase the commitments under the Revolving Credit Facility by $135.0 million for an aggregate principal amount of $260.0 million. On the same day, we drew upon the entire $260.0 million principal amount of the Revolving Credit Facility. Subsequently, on February 18, 2026, we repaid the entire $260.0 million in aggregate principle amount drawn under the Revolving Credit Facility. Currently, based on our expected future liquidity and anticipated cash requirements, we are evaluating amending the New Credit Agreement to, among other things, increase total debt commitments under the Revolving Credit Facility. If we are not able to amend the New Credit Agreement in the near term, we may decide to explore other forms of financing to pursue strategic opportunities or to optimize our capital structure, and our total liquidity may be reduced until such time as the financing transaction is completed.</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Our substantial indebtedness under the New Credit Agreement could have important consequences to the holders of our common stock, including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making it more difficult for us to satisfy our obligations with respect to our and our subsidiaries’ other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and our subsidiaries’ ability to obtain additional financing to fund future working capital, capital expenditures, acquisitions, or other general corporate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requiring us to dedicate a substantial portion of our cash flows to debt service payments, thereby reducing the amount of cash flows available for working capital, capital expenditures, acquisitions, and other general corporate purposes;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increasing our vulnerability to general adverse economic and industry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exposing us to the risk of increased interest rates, to the extent any of our borrowings are at variable rates of interest;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flexibility in planning for and reacting to changes in the industry in which we compete;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placing us at a disadvantage compared to other, less leveraged competitors; and</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increasing our cost of borrowing.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the New Credit Agreement contains, and agreements governing our future borrowing may contain, financial covenants that require us to maintain certain liquidity and cash flow metrics, as well as restrictive covenants that limit our and certain of our subsidiaries’ ability to engage in activities that may be in our long-term best interest. Our failure to comply with those covenants could result in an event of default which, if not cured or waived, could result in the acceleration of any borrowings under the Revolving Credit Facility and restrict our ability to draw down amounts under the Revolving Credit Facility that would otherwise be available to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and our subsidiaries may be able to incur significant additional indebtedness in the future. Although the New Credit Agreement contains restrictions on the incurrence of additional indebtedness, these restrictions are, or are expected to be, subject to a number of qualifications and exceptions, and the amount of additional indebtedness incurred in compliance with these restrictions could be substantial. These restrictions also will not prevent us from incurring obligations that do not constitute “indebtedness” under the New Credit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need to refinance all or a portion of our indebtedness on or before the maturity thereof. Depending on market conditions, we may not be able to obtain such financing on commercially reasonable terms or at all. Failure to refinance our indebtedness could have a material adverse effect on us.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We may not be able to generate sufficient cash to service all of our indebtedness and may be forced to take other actions to satisfy our obligations under our indebtedness, which may not be successful.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make scheduled principal and interest payments on or refinance our debt obligations depends on our financial condition and operating performance, which are subject to prevailing economic and competitive conditions and to financial, business, legislative, regulatory, and other factors, some of which are beyond our control. We cannot be sure that our business will generate sufficient cash flows from operating activities, or that future borrowings will be available, to permit us to pay the principal and interest on our indebtedness.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The New Credit Agreement restricts, and any agreement governing any debt we incur in the future may restrict, our ability to dispose of assets and use the proceeds from those dispositions and also limits our ability to raise debt or equity capital to be used to repay other indebtedness when it becomes due. We may not be able to consummate those dispositions or to obtain proceeds in an amount sufficient to meet any debt service obligations then due.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Additionally, if we cannot make scheduled payments on our debt, we will be in default, and the outstanding principal amount of indebtedness thereunder may be accelerated, commitments to loan money may be terminated and/or assets securing such borrowings may be foreclosed against, as applicable in the relevant debt instrument, and we could be forced into bankruptcy or liquidation. Any of these events could result in you losing all or a portion of your investment in the common stock.</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Agreements governing our current and future indebtedness contain covenants that restrict our current and future operations, including our ability to respond to changes or to take certain actions.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New Credit Agreement contains, and any future indebtedness agreements we enter into will likely contain, a number of restrictive covenants that impose significant operating and financial restrictions on us and our subsidiaries and may limit our and our subsidiaries’ abilities to engage in acts that may be in our long-term best interest. These covenants may include restrictions on our and our subsidiaries abilities to:</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incur additional indebtedness and guarantee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dividends or make other distributions or repurchase or redeem our capital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prepay, redeem, or repurchase junior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 certain preferred stock or similar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loans and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 assets or property, except in certain circumstances;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 or license intellectual property, except in certain circumstances;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liens;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dispose of our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modify or waive certain material agreements in a manner that is adverse in any material respect to the lenders;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agreements restricting our subsidiaries’ ability to pay dividends;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make fundamental changes in our business, corporate structure, or capital structure, including, among other things, entering into mergers, acquisitions, consolidations, and other business combinations or selling all or substantially all of our assets.</w:t>
      </w:r>
    </w:p>
    <w:p>
      <w:pPr>
        <w:pStyle w:val="TextBody"/>
        <w:bidi w:val="0"/>
        <w:jc w:val="both"/>
        <w:rPr>
          <w:rFonts w:ascii="Times New Roman" w:hAnsi="Times New Roman"/>
          <w:color w:val="000000"/>
          <w:sz w:val="20"/>
        </w:rPr>
      </w:pPr>
      <w:r>
        <w:rPr>
          <w:rFonts w:ascii="Times New Roman" w:hAnsi="Times New Roman"/>
          <w:color w:val="000000"/>
          <w:sz w:val="20"/>
        </w:rPr>
        <w:t xml:space="preserve">As a result of these restrictions, we may be: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limited in how we conduct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unable to raise additional debt or equity financing to operate during general economic or business downturns; or</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unable to compete effectively or to take advantage of new business opportunities.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These restrictions may affect our ability to grow in accordance with our strategy. If we incur indebtedness provided or guaranteed by the U.S. government, we may be subject to additional restrictions on our operations, including limitations on employee headcount and compensation reductions and other cost reduction activities.</w:t>
      </w:r>
    </w:p>
    <w:p>
      <w:pPr>
        <w:pStyle w:val="TextBody"/>
        <w:bidi w:val="0"/>
        <w:spacing w:before="0" w:after="200"/>
        <w:jc w:val="both"/>
        <w:rPr>
          <w:rFonts w:ascii="Times New Roman" w:hAnsi="Times New Roman"/>
          <w:b/>
          <w:color w:val="010302"/>
          <w:sz w:val="20"/>
        </w:rPr>
      </w:pPr>
      <w:r>
        <w:rPr>
          <w:rFonts w:ascii="Times New Roman" w:hAnsi="Times New Roman"/>
          <w:b/>
          <w:color w:val="010302"/>
          <w:sz w:val="20"/>
        </w:rPr>
        <w:t>Risks Related to Ownership of Our Common Stock</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The market price of our common stock may be volatile or may decline steeply or suddenly regardless of our operating performance. You may not be able to resell your shares at or above the price you pay for them, and you may lose all or part of your investment.</w:t>
      </w:r>
    </w:p>
    <w:p>
      <w:pPr>
        <w:pStyle w:val="TextBody"/>
        <w:bidi w:val="0"/>
        <w:jc w:val="both"/>
        <w:rPr>
          <w:rFonts w:ascii="Times New Roman" w:hAnsi="Times New Roman"/>
          <w:color w:val="000000"/>
          <w:sz w:val="20"/>
        </w:rPr>
      </w:pPr>
      <w:r>
        <w:rPr>
          <w:rFonts w:ascii="Times New Roman" w:hAnsi="Times New Roman"/>
          <w:color w:val="000000"/>
          <w:sz w:val="20"/>
        </w:rPr>
        <w:t>The market price of our common stock may fluctuate or decline significantly in response to numerous factors, many of which are beyond our control,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revenues or other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between our actual operating results and the expectations of securities analysts, investors, and the financial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actions of securities analysts who initiate or maintain coverage of us, changes in financial estimates by any securities analysts who follow us or our failure to meet these estimates or the expectations of investors;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shares of common stock being sold into the market by us or our existing stockholders, or the anticipation of such sales, including if existing stockholders sell shares into the market when the applicable “lock-up” periods end;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products or features, innovations, acquisitions, strategic partnerships, joint ventures, capital commitments, divestitures, or other dispositions;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relationships with significant suppliers or other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performance and stock market valuations of companies in our industry, including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in integrating any new acquisitions we may make;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services from members of management or employees or difficulty in recruiting additional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deterioration of economic conditions in the United States and reduction in demand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and volume fluctuations in the overall stock market, including as a result of general economic trends;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lawsuits threatened or filed against us, or events that negatively impact our reputation; and</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developments in new legislation and pending lawsuits or regulatory actions, including interim or final rulings by judicial or regulatory bodies.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extreme price and volume fluctuations in the stock markets have affected and continue to affect the stock prices of many companies. Often, their stock prices have fluctuated in ways unrelated or disproportionate to their operating performance. In the past, stockholders have filed securities class action litigation against companies following periods of market volatility. Such securities litigation, could subject us to substantial costs, divert resources and the attention of management from our business and seriously harm our business.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Future sales of our common stock and other actions by existing stockholders could cause our stock price to decline.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that such sales may occur, including sales by the cornerstone investor, could depress the market price of our common stock. Furthermore, certain holders of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common stock or their transferees, are entitled to rights with respect to the registration of their shares under the Securities Act of 1933, as amended (the “Securities Act”).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currently do not anticipate paying any cash dividends for the foreseeable future. In addition, the terms of our indebtedness limit our ability to pay dividends or make other distributions on, or to repurchase or redeem, shares of our capital stock. Consequently, your only opportunity to achieve a return on your investment in our company will be if the market price of our common stock appreciates and you sell your shares at a profit. There is no guarantee that the price of our common stock that will prevail in the market will ever exceed the price you paid.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If securities or industry analysts either do not publish research about us or publish inaccurate or unfavorable research about us, our business, or our market, if they adversely change their recommendations regarding our common stock, or if our operating results do not meet their expectations or any financial guidance we may provide, the trading price or trading volume of our common stock could decline.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trading market for our common stock is influenced in part by the research and reports that securities or industry analysts may publish about us, our business, our market, or our competitors. If one or more of the analysts initiate research with an unfavorable rating or downgrade our common stock, provide a more favorable recommendation regarding our competitors, or publish inaccurate or unfavorable research about our business, our common stock price would likely decline. If one or more analysts who may cover us were to cease coverage of us or fail to regularly publish reports on us, we could lose visibility in the financial markets, which in turn could cause the trading price or trading volume of our common stock to decline.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if we do not meet any financial guidance that we may provide to the public or if we do not meet expectations of securities analysts or investors, the trading price of our common stock could decline significantly. Our operating results may fluctuate significantly from period to period as a result of changes in a variety of factors affecting us or our industry, many of which are difficult to predict. As a result, we may experience challenges in forecasting our operating results for future periods.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Future issuances of our common stock could result in significant dilution to our stockholders, dilute the voting power of our common stock and depress the market price of our common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Future issuances of our common stock, including those shares of common stock issued in connection with our acquisition of SciTec, could result in dilution to existing holders of our common stock. Such issuances, or the perception that such issuances may occur, could depress the market price of our common stock. We may issue additional equity securities from time to time, including equity securities that could have rights senior to those of our common stock. As a result, existing holders of our common stock bear the risk that future issuances of equity securities may reduce the value of their shares and dilute their ownership interests. Also, to the extent outstanding stock-based awards are issued or become vested, there will be further dilution to the holders of our common stock.</w:t>
      </w:r>
    </w:p>
    <w:p>
      <w:pPr>
        <w:pStyle w:val="TextBody"/>
        <w:bidi w:val="0"/>
        <w:spacing w:before="0" w:after="200"/>
        <w:jc w:val="both"/>
        <w:rPr>
          <w:rFonts w:ascii="Times New Roman" w:hAnsi="Times New Roman"/>
          <w:sz w:val="20"/>
        </w:rPr>
      </w:pPr>
      <w:r>
        <w:rPr>
          <w:rFonts w:ascii="Times New Roman" w:hAnsi="Times New Roman"/>
          <w:b/>
          <w:i/>
          <w:color w:val="000000"/>
          <w:sz w:val="20"/>
        </w:rPr>
        <w:t>The requirements of being a public company, including compliance with the reporting requirements of the Exchange Act and the requirements of the Sarbanes-Oxley Act and Nasdaq, may strain our resources, increase our costs, and distract management, and we may be unable to comply with these requirements in a timely or cost-effective manner.</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a public company, we incur significant legal, accounting, investor relations, and other expenses that we did not incur as a private company. For example, we are subject to the reporting requirements of the Exchange Act and are required to comply with the applicable requirements of the Sarbanes-Oxley Act of 2002, as amended (the “Sarbanes-Oxley Act”), and the Dodd-Frank Wall Street Reform and Consumer Protection Act, as well as rules and regulations subsequently implemented by the SEC and Nasdaq, including the establishment and maintenance of effective disclosure and financial controls and changes in corporate governance practices. As a newly public company, complying with these statutes, regulations, and requirements will occupy a significant amount of time of our Board of Directors and management and will significantly increase our costs and expenses as compared to when we were a private company. In particular, we have incurred, and expect to incur, significant expenses and devote substantial management effort toward ensuring compliance with the requirements of Section 404 of the Sarbanes-Oxley Act, which will increase when we are no longer an emerging growth company, as defined by the JOBS Act.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Public company reporting and disclosure obligations and a broader stockholder base as a result of our status as a public company may expose us to a greater risk of claims by stockholders, and we may experience threatened or actual litigation from time to time. If claims asserted in such litigation are successful, our business and operating results could be adversely affected, and, even if claims do not result in litigation or are resolved in our favor, these claims, and the time and resources necessary to resolve them and the diversion of management resources, could adversely affect our business and operating results.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We are an “emerging growth company” and are able to avail ourselves of reduced disclosure requirements applicable to emerging growth companies, which could make our common stock less attractive to investors.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an emerging growth company, as defined in the JOBS Act, and we intend to continue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take advantage of these reporting exemptions until we are no longer an emerging growth company or, with respect to adoption of certain new or revised accounting standards, until we irrevocably elect to opt out of using the extended transition period. We will remain an emerging growth company until the earliest of (i) the last day of the fiscal year in which we have total annual gross revenues of $1.235 billion or more; (ii) the last day of our fiscal year following the fifth anniversary of the date of the completion of our IPO; (iii) the date on which we have issued more than $1 billion in nonconvertible debt during the previous three years; or (iv) the date on which we are deemed to be a large accelerated filer under the rules of the SEC.</w:t>
      </w:r>
    </w:p>
    <w:p>
      <w:pPr>
        <w:pStyle w:val="TextBody"/>
        <w:bidi w:val="0"/>
        <w:spacing w:before="0" w:after="200"/>
        <w:jc w:val="both"/>
        <w:rPr>
          <w:rFonts w:ascii="Times New Roman" w:hAnsi="Times New Roman"/>
          <w:sz w:val="20"/>
        </w:rPr>
      </w:pPr>
      <w:r>
        <w:rPr>
          <w:rFonts w:ascii="Times New Roman" w:hAnsi="Times New Roman"/>
          <w:b/>
          <w:color w:val="010302"/>
          <w:sz w:val="20"/>
        </w:rPr>
        <w:t>Risks Related to Our Organizational Structure</w:t>
      </w:r>
      <w:r>
        <w:rPr>
          <w:rFonts w:ascii="Times New Roman" w:hAnsi="Times New Roman"/>
          <w:color w:val="010302"/>
          <w:sz w:val="20"/>
        </w:rPr>
        <w:t xml:space="preserve"> </w:t>
      </w:r>
    </w:p>
    <w:p>
      <w:pPr>
        <w:pStyle w:val="TextBody"/>
        <w:bidi w:val="0"/>
        <w:spacing w:before="0" w:after="200"/>
        <w:jc w:val="both"/>
        <w:rPr>
          <w:rFonts w:ascii="Times New Roman" w:hAnsi="Times New Roman"/>
          <w:sz w:val="20"/>
        </w:rPr>
      </w:pPr>
      <w:r>
        <w:rPr>
          <w:rFonts w:ascii="Times New Roman" w:hAnsi="Times New Roman"/>
          <w:b/>
          <w:i/>
          <w:color w:val="010302"/>
          <w:sz w:val="20"/>
        </w:rPr>
        <w:t>AE Industrial Partners controls us, and its interests may conflict with ours or yours in the future.</w:t>
      </w:r>
      <w:r>
        <w:rPr>
          <w:rFonts w:ascii="Times New Roman" w:hAnsi="Times New Roman"/>
          <w:color w:val="010302"/>
          <w:sz w:val="20"/>
        </w:rPr>
        <w:t xml:space="preserve"> </w:t>
      </w:r>
    </w:p>
    <w:p>
      <w:pPr>
        <w:pStyle w:val="TextBody"/>
        <w:bidi w:val="0"/>
        <w:spacing w:before="0" w:after="200"/>
        <w:jc w:val="both"/>
        <w:rPr>
          <w:rFonts w:ascii="Times New Roman" w:hAnsi="Times New Roman"/>
          <w:sz w:val="20"/>
        </w:rPr>
      </w:pPr>
      <w:r>
        <w:rPr>
          <w:rFonts w:ascii="Times New Roman" w:hAnsi="Times New Roman"/>
          <w:color w:val="010302"/>
          <w:sz w:val="20"/>
        </w:rPr>
        <w:t>As of December 31, 2025, AE Industrial Partners beneficially owned approximately 36.9% of our common stock, with each share of common stock entitling the holder to one vote on all matters submitted to a vote of our stockholders. Moreover, we have agreed to nominate to our Board of Directors certai</w:t>
      </w:r>
      <w:r>
        <w:rPr>
          <w:rFonts w:ascii="Times New Roman" w:hAnsi="Times New Roman"/>
          <w:color w:val="000000"/>
          <w:sz w:val="20"/>
        </w:rPr>
        <w:t>n individuals designated by AE Industrial Partners, as representative of AE Industrial Partners, and certain other stockholders, including certain entities controlled by Marc Weiser, a member of our Board of Directors (the “Investor Group”), in accordance with our Director Nomination Agreement. Pursuant to the Director Nomination Agreement, AE Industrial Partners initially has the right to nomina</w:t>
      </w:r>
      <w:r>
        <w:rPr>
          <w:rFonts w:ascii="Times New Roman" w:hAnsi="Times New Roman"/>
          <w:color w:val="010302"/>
          <w:sz w:val="20"/>
        </w:rPr>
        <w:t xml:space="preserve">te up to 55% of the total number of directors to our Board of Directors, with such number decreasing based on the percentage of our common stock owned by AE Industrial Partners. In addition, AE Industrial Partners received voting proxies with respect to all the shares issued in the SciTec acquisition. Even when AE Industrial Partners ceases to own shares of our common stock representing a majority of the total voting power, for so long as AE Industrial Partners continues to own a significant percentage of our common stock, it will still be able to significantly influence or effectively control the composition of our Board of Directors and the approval of actions requiring stockholder approval through their voting power. Accordingly, for such period of time, AE Industrial Partners will have significant influence with respect to our management, business plans, and policies, including the appointment and removal of our officers. In particular, for so long as AE Industrial Partners continues to own a significant percentage of our common stock, AE Industrial Partners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 </w:t>
      </w:r>
    </w:p>
    <w:p>
      <w:pPr>
        <w:pStyle w:val="TextBody"/>
        <w:bidi w:val="0"/>
        <w:spacing w:before="0" w:after="200"/>
        <w:jc w:val="both"/>
        <w:rPr>
          <w:rFonts w:ascii="Times New Roman" w:hAnsi="Times New Roman"/>
          <w:color w:val="010302"/>
          <w:sz w:val="20"/>
        </w:rPr>
      </w:pPr>
      <w:r>
        <w:rPr>
          <w:rFonts w:ascii="Times New Roman" w:hAnsi="Times New Roman"/>
          <w:color w:val="010302"/>
          <w:sz w:val="20"/>
        </w:rPr>
        <w:t xml:space="preserve">AE Industrial Partners engages in a broad spectrum of activities, including investments in our industry generally. In the ordinary course of their business activities, AE Industrial Partners may engage in activities where their interests conflict with our interests or those of our other stockholders, such as investing in or advising businesses that directly or indirectly compete with certain portions of our business or are suppliers or customers of ours. Our certificate of incorporation provides that none of AE Industrial Partners, any of its affiliates, or any director who is not employed by us (including any non-employee director who serves as one of our officers in both his or her director and officer capacities) or its affiliates have any duty to refrain from engaging, directly or indirectly, in the same business activities or similar business activities or lines of business in which we operate. AE Industrial Partners also may pursue acquisition opportunities that may be complementary to our business, and, as a result, those acquisition opportunities may not be available to us. In addition, AE Industrial Partners may have an interest in pursuing acquisitions, divestitures, and other transactions that, in their judgment, could enhance their investment, even though such transactions might involve risks to you or may not prove beneficial.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b/>
          <w:i/>
          <w:color w:val="010302"/>
          <w:sz w:val="20"/>
        </w:rPr>
        <w:t>Provisions in our certificate of incorporation and bylaws could make a merger,</w:t>
      </w:r>
      <w:r>
        <w:rPr>
          <w:rFonts w:ascii="Times New Roman" w:hAnsi="Times New Roman"/>
          <w:color w:val="010302"/>
          <w:sz w:val="20"/>
        </w:rPr>
        <w:t xml:space="preserve"> </w:t>
      </w:r>
      <w:r>
        <w:rPr>
          <w:rFonts w:ascii="Times New Roman" w:hAnsi="Times New Roman"/>
          <w:b/>
          <w:i/>
          <w:color w:val="010302"/>
          <w:sz w:val="20"/>
        </w:rPr>
        <w:t>tender offer, or proxy contest difficult, thereby depressing the trading price of our common stock.</w:t>
      </w:r>
      <w:r>
        <w:rPr>
          <w:rFonts w:ascii="Times New Roman" w:hAnsi="Times New Roman"/>
          <w:color w:val="010302"/>
          <w:sz w:val="20"/>
        </w:rPr>
        <w:t xml:space="preserve"> </w:t>
      </w:r>
    </w:p>
    <w:p>
      <w:pPr>
        <w:pStyle w:val="TextBody"/>
        <w:bidi w:val="0"/>
        <w:spacing w:before="0" w:after="200"/>
        <w:jc w:val="both"/>
        <w:rPr>
          <w:rFonts w:ascii="Times New Roman" w:hAnsi="Times New Roman"/>
          <w:color w:val="010302"/>
          <w:sz w:val="20"/>
        </w:rPr>
      </w:pPr>
      <w:r>
        <w:rPr>
          <w:rFonts w:ascii="Times New Roman" w:hAnsi="Times New Roman"/>
          <w:color w:val="010302"/>
          <w:sz w:val="20"/>
        </w:rPr>
        <w:t xml:space="preserve">Our certificate of incorporation and bylaws contain provisions that could depress the trading price of our common stock by acting to discourage, delay or prevent a change of control of our company or changes in our management that our stockholders may deem advantageous. In particular, our certificate of incorporation and bylaws: </w:t>
      </w:r>
    </w:p>
    <w:p>
      <w:pPr>
        <w:pStyle w:val="TextBody"/>
        <w:bidi w:val="0"/>
        <w:spacing w:before="0" w:after="0"/>
        <w:jc w:val="both"/>
        <w:rPr>
          <w:color w:val="010302"/>
        </w:rPr>
      </w:pPr>
      <w:r>
        <w:rPr>
          <w:color w:val="010302"/>
        </w:rPr>
        <w:t>•</w:t>
      </w:r>
    </w:p>
    <w:p>
      <w:pPr>
        <w:pStyle w:val="TextBody"/>
        <w:bidi w:val="0"/>
        <w:spacing w:before="0" w:after="0"/>
        <w:jc w:val="both"/>
        <w:rPr>
          <w:rFonts w:ascii="Times New Roman" w:hAnsi="Times New Roman"/>
          <w:color w:val="010302"/>
          <w:sz w:val="20"/>
        </w:rPr>
      </w:pPr>
      <w:r>
        <w:rPr>
          <w:rFonts w:ascii="Times New Roman" w:hAnsi="Times New Roman"/>
          <w:color w:val="010302"/>
          <w:sz w:val="20"/>
        </w:rPr>
        <w:t>establish a classified Board of Directors so that not all members are elected at one time, which could delay the ability of stockholders to change the membership of a majority of our Board of Directors;</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permit our Board of Directors to establish the number of directors and fill any vacancies (including vacancies resulting from an expansion in the size of our Board of Directors), except in the case of the vacancy of directors appointed pursuant to the Director Nomination Agreement (in which case such vacancy would be filled in accordance with such agreement);</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establish limitations on the removal of directors following the Trigger Date (the time when AE Industrial Partners ceases to beneficially own at least 40% of the shares of our outstanding common stock);</w:t>
      </w:r>
    </w:p>
    <w:p>
      <w:pPr>
        <w:pStyle w:val="TextBody"/>
        <w:bidi w:val="0"/>
        <w:spacing w:before="120" w:after="283"/>
        <w:jc w:val="both"/>
        <w:rPr>
          <w:color w:val="010302"/>
        </w:rPr>
      </w:pPr>
      <w:r>
        <w:rPr>
          <w:color w:val="010302"/>
        </w:rPr>
        <w:t>•</w:t>
      </w:r>
    </w:p>
    <w:p>
      <w:pPr>
        <w:pStyle w:val="TextBody"/>
        <w:bidi w:val="0"/>
        <w:spacing w:before="120" w:after="283"/>
        <w:jc w:val="both"/>
        <w:rPr/>
      </w:pPr>
      <w:r>
        <w:rPr>
          <w:rFonts w:ascii="Times New Roman" w:hAnsi="Times New Roman"/>
          <w:color w:val="010302"/>
          <w:sz w:val="20"/>
        </w:rPr>
        <w:t xml:space="preserve">authorize the issuance of </w:t>
      </w:r>
      <w:r>
        <w:rPr>
          <w:color w:val="000000"/>
        </w:rPr>
        <w:t>“</w:t>
      </w:r>
      <w:r>
        <w:rPr>
          <w:rFonts w:ascii="Times New Roman" w:hAnsi="Times New Roman"/>
          <w:color w:val="010302"/>
          <w:sz w:val="20"/>
        </w:rPr>
        <w:t>blank check</w:t>
      </w:r>
      <w:r>
        <w:rPr>
          <w:color w:val="000000"/>
        </w:rPr>
        <w:t>”</w:t>
      </w:r>
      <w:r>
        <w:rPr>
          <w:color w:val="010302"/>
        </w:rPr>
        <w:t xml:space="preserve"> </w:t>
      </w:r>
      <w:r>
        <w:rPr>
          <w:rFonts w:ascii="Times New Roman" w:hAnsi="Times New Roman"/>
          <w:color w:val="010302"/>
          <w:sz w:val="20"/>
        </w:rPr>
        <w:t>preferred stock that our Board of Directors could use to implement a stockholders right plan;</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provide that our Board of Directors is expressly authorized to make, alter, or repeal our bylaws without stockholder approval and that stockholders may adopt, amend, alter, or repeal our bylaws by the affirmative vote of a majority of the voting power of our outstanding common stock (other than certain specified bylaws which, following the Trigger Date, will require the affirmative vote of two-thirds of our outstanding common stock);</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restrict the forum for certain litigation against us to Delaware;</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provide that stockholders may not act by written consent following the Trigger Date, which would require stockholder action to be taken at an annual or special meeting of our stockholders;</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prohibit stockholders from calling special meetings following the Trigger Date, which would delay the ability of our stockholders to force consideration of a proposal or to take action, including with respect to the removal of directors; and</w:t>
      </w:r>
    </w:p>
    <w:p>
      <w:pPr>
        <w:pStyle w:val="TextBody"/>
        <w:bidi w:val="0"/>
        <w:spacing w:before="120" w:after="200"/>
        <w:jc w:val="both"/>
        <w:rPr>
          <w:color w:val="010302"/>
        </w:rPr>
      </w:pPr>
      <w:r>
        <w:rPr>
          <w:color w:val="010302"/>
        </w:rPr>
        <w:t>•</w:t>
      </w:r>
    </w:p>
    <w:p>
      <w:pPr>
        <w:pStyle w:val="TextBody"/>
        <w:bidi w:val="0"/>
        <w:spacing w:before="120" w:after="200"/>
        <w:jc w:val="both"/>
        <w:rPr>
          <w:rFonts w:ascii="Times New Roman" w:hAnsi="Times New Roman"/>
          <w:color w:val="010302"/>
          <w:sz w:val="20"/>
        </w:rPr>
      </w:pPr>
      <w:r>
        <w:rPr>
          <w:rFonts w:ascii="Times New Roman" w:hAnsi="Times New Roman"/>
          <w:color w:val="010302"/>
          <w:sz w:val="20"/>
        </w:rPr>
        <w:t>establish advance notice requirements for nominations for election to our Board of Directors or for proposing matters that can be acted upon by stockholders at annual stockholder meetings, other than with respect to AE Industrial Partners prior to the Trigger Date, which may discourage or deter a potential acquirer from conducting a solicitation of proxies to elect the acquirer's own slate of directors or otherwise attempting to obtain control of us.</w:t>
      </w:r>
    </w:p>
    <w:p>
      <w:pPr>
        <w:pStyle w:val="TextBody"/>
        <w:bidi w:val="0"/>
        <w:spacing w:before="0" w:after="200"/>
        <w:jc w:val="both"/>
        <w:rPr>
          <w:rFonts w:ascii="Times New Roman" w:hAnsi="Times New Roman"/>
          <w:sz w:val="20"/>
        </w:rPr>
      </w:pPr>
      <w:r>
        <w:rPr>
          <w:rFonts w:ascii="Times New Roman" w:hAnsi="Times New Roman"/>
          <w:color w:val="010302"/>
          <w:sz w:val="20"/>
        </w:rPr>
        <w:t>Section 203 of the Delaware General Corporation Law (the “DGCL</w:t>
      </w:r>
      <w:r>
        <w:rPr>
          <w:rFonts w:ascii="Times New Roman" w:hAnsi="Times New Roman"/>
          <w:color w:val="000000"/>
          <w:sz w:val="20"/>
        </w:rPr>
        <w:t>”</w:t>
      </w:r>
      <w:r>
        <w:rPr>
          <w:rFonts w:ascii="Times New Roman" w:hAnsi="Times New Roman"/>
          <w:color w:val="010302"/>
          <w:sz w:val="20"/>
        </w:rPr>
        <w:t>) prohibits a publicly held Delaware corporation from engaging in a business combination with an interested stockholder, generally a person, individually or together with any other interested stockholder, who owns or within the last three years has owned 15% of our voting stock, unless the business combination is approved in a prescribed manner. We have elected to opt out of Section 203 of the DGCL. However, our certificate of incorporation contains a provision that is of similar effect, except that it exempts from its scope AE Industrial Partners, any of its affiliates and certain of their respective direct or indirect transferees.</w:t>
      </w:r>
    </w:p>
    <w:p>
      <w:pPr>
        <w:pStyle w:val="TextBody"/>
        <w:bidi w:val="0"/>
        <w:spacing w:before="0" w:after="200"/>
        <w:jc w:val="both"/>
        <w:rPr>
          <w:rFonts w:ascii="Times New Roman" w:hAnsi="Times New Roman"/>
          <w:color w:val="010302"/>
          <w:sz w:val="20"/>
        </w:rPr>
      </w:pPr>
      <w:r>
        <w:rPr>
          <w:rFonts w:ascii="Times New Roman" w:hAnsi="Times New Roman"/>
          <w:color w:val="010302"/>
          <w:sz w:val="20"/>
        </w:rPr>
        <w:t>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pStyle w:val="TextBody"/>
        <w:bidi w:val="0"/>
        <w:spacing w:before="0" w:after="200"/>
        <w:jc w:val="both"/>
        <w:rPr>
          <w:rFonts w:ascii="Times New Roman" w:hAnsi="Times New Roman"/>
          <w:sz w:val="20"/>
        </w:rPr>
      </w:pPr>
      <w:r>
        <w:rPr>
          <w:rFonts w:ascii="Times New Roman" w:hAnsi="Times New Roman"/>
          <w:b/>
          <w:i/>
          <w:color w:val="010302"/>
          <w:sz w:val="20"/>
        </w:rPr>
        <w:t>Our certificate of incorporation designates the Court of Chancery of the State of Delaware as the exclusive forum for certain litigation that may</w:t>
      </w:r>
      <w:r>
        <w:rPr>
          <w:rFonts w:ascii="Times New Roman" w:hAnsi="Times New Roman"/>
          <w:color w:val="010302"/>
          <w:sz w:val="20"/>
        </w:rPr>
        <w:t xml:space="preserve"> </w:t>
      </w:r>
      <w:r>
        <w:rPr>
          <w:rFonts w:ascii="Times New Roman" w:hAnsi="Times New Roman"/>
          <w:b/>
          <w:i/>
          <w:color w:val="010302"/>
          <w:sz w:val="20"/>
        </w:rPr>
        <w:t>be initiated by our stockholders and the federal district courts of the United States as the exclusive forum for litigation arising under the Securities</w:t>
      </w:r>
      <w:r>
        <w:rPr>
          <w:rFonts w:ascii="Times New Roman" w:hAnsi="Times New Roman"/>
          <w:color w:val="010302"/>
          <w:sz w:val="20"/>
        </w:rPr>
        <w:t xml:space="preserve"> </w:t>
      </w:r>
      <w:r>
        <w:rPr>
          <w:rFonts w:ascii="Times New Roman" w:hAnsi="Times New Roman"/>
          <w:b/>
          <w:i/>
          <w:color w:val="010302"/>
          <w:sz w:val="20"/>
        </w:rPr>
        <w:t>Act, which could limit our stockholders’ ability to obtain a favorable judicial forum for disputes with us or our directors, officers, employees, or</w:t>
      </w:r>
      <w:r>
        <w:rPr>
          <w:rFonts w:ascii="Times New Roman" w:hAnsi="Times New Roman"/>
          <w:color w:val="010302"/>
          <w:sz w:val="20"/>
        </w:rPr>
        <w:t xml:space="preserve"> </w:t>
      </w:r>
      <w:r>
        <w:rPr>
          <w:rFonts w:ascii="Times New Roman" w:hAnsi="Times New Roman"/>
          <w:b/>
          <w:i/>
          <w:color w:val="010302"/>
          <w:sz w:val="20"/>
        </w:rPr>
        <w:t>agents.</w:t>
      </w:r>
      <w:r>
        <w:rPr>
          <w:rFonts w:ascii="Times New Roman" w:hAnsi="Times New Roman"/>
          <w:color w:val="010302"/>
          <w:sz w:val="20"/>
        </w:rPr>
        <w:t xml:space="preserve"> </w:t>
      </w:r>
    </w:p>
    <w:p>
      <w:pPr>
        <w:pStyle w:val="TextBody"/>
        <w:bidi w:val="0"/>
        <w:spacing w:before="0" w:after="200"/>
        <w:jc w:val="both"/>
        <w:rPr>
          <w:rFonts w:ascii="Times New Roman" w:hAnsi="Times New Roman"/>
          <w:color w:val="010302"/>
          <w:sz w:val="20"/>
        </w:rPr>
      </w:pPr>
      <w:r>
        <w:rPr>
          <w:rFonts w:ascii="Times New Roman" w:hAnsi="Times New Roman"/>
          <w:color w:val="010302"/>
          <w:sz w:val="20"/>
        </w:rPr>
        <w:t xml:space="preserve">Pursuant to our certificate of incorporation, unless we consent in writing to the selection of an alternative forum, the Court of Chancery of the State of Delaware is sole and exclusive forum for any claims in state court for (1) any derivative action or proceeding brought on our behalf, (2) any action asserting a claim of breach of a fiduciary duty owed by any of our directors, officers, other employees, or stockholders to us or our stockholders, (3) any action asserting a claim against us arising pursuant to any provision of the DGCL, our certificate of incorporation or our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does not apply to suits to enforce a duty or liability created by Securities Act, the Exchange Act, or any other claim for which the federal courts have exclusive jurisdiction.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00"/>
        <w:jc w:val="both"/>
        <w:rPr>
          <w:rFonts w:ascii="Times New Roman" w:hAnsi="Times New Roman"/>
          <w:color w:val="010302"/>
          <w:sz w:val="20"/>
        </w:rPr>
      </w:pPr>
      <w:r>
        <w:rPr>
          <w:rFonts w:ascii="Times New Roman" w:hAnsi="Times New Roman"/>
          <w:color w:val="010302"/>
          <w:sz w:val="20"/>
        </w:rPr>
        <w:t xml:space="preserve">Moreover, Section 22 of the Securities Act creates concurrent jurisdiction for federal and state courts over all claims brought to enforce any duty or liability created by the Securities Act or the rules and regulations thereunder and our certificate of incorporation provides that, unless we consent in writing to the selection of an alternative forum and to the fullest extent permitted by law, the federal district courts of the United States shall be the exclusive forum for the resolution of any complaint asserting a cause of action arising under the Securities Act.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 </w:t>
      </w:r>
    </w:p>
    <w:p>
      <w:pPr>
        <w:pStyle w:val="TextBody"/>
        <w:bidi w:val="0"/>
        <w:spacing w:before="0" w:after="200"/>
        <w:jc w:val="both"/>
        <w:rPr>
          <w:rFonts w:ascii="Times New Roman" w:hAnsi="Times New Roman"/>
          <w:color w:val="010302"/>
          <w:sz w:val="20"/>
        </w:rPr>
      </w:pPr>
      <w:r>
        <w:rPr>
          <w:rFonts w:ascii="Times New Roman" w:hAnsi="Times New Roman"/>
          <w:color w:val="010302"/>
          <w:sz w:val="20"/>
        </w:rPr>
        <w:t xml:space="preserve">Section 27 of the Exchange Act creates exclusive federal jurisdiction over all claims brought to enforce any duty or liability created by the Exchange Act or the rules and regulations thereunder and our certificate of incorporation provides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w:t>
      </w:r>
    </w:p>
    <w:p>
      <w:pPr>
        <w:pStyle w:val="TextBody"/>
        <w:bidi w:val="0"/>
        <w:spacing w:before="0" w:after="200"/>
        <w:jc w:val="both"/>
        <w:rPr>
          <w:rFonts w:ascii="Times New Roman" w:hAnsi="Times New Roman"/>
          <w:color w:val="010302"/>
          <w:sz w:val="20"/>
        </w:rPr>
      </w:pPr>
      <w:r>
        <w:rPr>
          <w:rFonts w:ascii="Times New Roman" w:hAnsi="Times New Roman"/>
          <w:color w:val="010302"/>
          <w:sz w:val="20"/>
        </w:rPr>
        <w:t>Our certificate of incorporation further provides that any person or entity purchasing or otherwise acquiring or holding any interest in shares of our capital stock is deemed to have notice of and consented to the provisions of our certificate of incorporation described above. The forum selection provision in our certificate of incorporation may have the effect of discouraging lawsuits against us or our directors and officers and may limit our stockholders’ ability to obtain a favorable judicial forum for disputes with us.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 of Directors.</w:t>
      </w:r>
    </w:p>
    <w:p>
      <w:pPr>
        <w:pStyle w:val="TextBody"/>
        <w:bidi w:val="0"/>
        <w:spacing w:before="0" w:after="200"/>
        <w:jc w:val="both"/>
        <w:rPr>
          <w:rFonts w:ascii="Times New Roman" w:hAnsi="Times New Roman"/>
          <w:sz w:val="20"/>
        </w:rPr>
      </w:pPr>
      <w:r>
        <w:rPr>
          <w:rFonts w:ascii="Times New Roman" w:hAnsi="Times New Roman"/>
          <w:b/>
          <w:i/>
          <w:color w:val="010302"/>
          <w:sz w:val="20"/>
        </w:rPr>
        <w:t>Our certificate of incorporation contains a provision renouncing our interest and expectancy in certain corporate opportunities.</w:t>
      </w:r>
      <w:r>
        <w:rPr>
          <w:rFonts w:ascii="Times New Roman" w:hAnsi="Times New Roman"/>
          <w:color w:val="010302"/>
          <w:sz w:val="20"/>
        </w:rPr>
        <w:t xml:space="preserve"> </w:t>
      </w:r>
    </w:p>
    <w:p>
      <w:pPr>
        <w:pStyle w:val="TextBody"/>
        <w:bidi w:val="0"/>
        <w:spacing w:before="0" w:after="200"/>
        <w:jc w:val="both"/>
        <w:rPr>
          <w:rFonts w:ascii="Times New Roman" w:hAnsi="Times New Roman"/>
          <w:color w:val="010302"/>
          <w:sz w:val="20"/>
        </w:rPr>
      </w:pPr>
      <w:r>
        <w:rPr>
          <w:rFonts w:ascii="Times New Roman" w:hAnsi="Times New Roman"/>
          <w:color w:val="010302"/>
          <w:sz w:val="20"/>
        </w:rPr>
        <w:t>Under our certificate of incorporation, neither of AE Industrial Partners nor any of its respective portfolio companies, funds, or other affiliates, nor any of its officers, directors, employees, agents, stockholders, members, or partners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agent, stockholder, member, partner, or affiliate of either of AE Industrial Partners are liable to us or our stockholders for breach of any fiduciary duty by reason of the fact that any such individual directs a corporate opportunity to AE Industrial Partners, instead of to us, or does not communicate information regarding a corporate opportunity to us that the officer, director, employee, agent, stockholder, member, partner or affiliate has directed to AE Industrial Partners. For example, a director of our company who also serves as an officer, director, employee, agent, stockholder, member, partner, or affiliate of AE Industrial Partners, or any of their respective portfolio companies, funds, or other affiliates may pursue certain acquisitions or other opportunities that may be complementary to our business and, as a result, such acquisition or other opportunities may not be available to us. These potential conflicts of interest could have a material adverse effect on our business, financial condition, results of operations, or prospects if attractive corporate opportunities are allocated by AE Industrial Partners to itself or its respective portfolio companies, funds, or other affiliates instead of to us.</w:t>
      </w:r>
    </w:p>
    <w:p>
      <w:pPr>
        <w:pStyle w:val="TextBody"/>
        <w:bidi w:val="0"/>
        <w:spacing w:before="0" w:after="200"/>
        <w:jc w:val="left"/>
        <w:rPr>
          <w:rFonts w:ascii="Times New Roman" w:hAnsi="Times New Roman"/>
          <w:sz w:val="20"/>
        </w:rPr>
      </w:pPr>
      <w:r>
        <w:rPr>
          <w:rFonts w:ascii="Times New Roman" w:hAnsi="Times New Roman"/>
          <w:b/>
          <w:i/>
          <w:color w:val="010302"/>
          <w:sz w:val="20"/>
        </w:rPr>
        <w:t>We are a “controlled company” within the meaning of the rules and, as a result, qualify for and currently rely on exemptions from certain corporate</w:t>
      </w:r>
      <w:r>
        <w:rPr>
          <w:rFonts w:ascii="Times New Roman" w:hAnsi="Times New Roman"/>
          <w:color w:val="010302"/>
          <w:sz w:val="20"/>
        </w:rPr>
        <w:t xml:space="preserve"> </w:t>
      </w:r>
      <w:r>
        <w:rPr>
          <w:rFonts w:ascii="Times New Roman" w:hAnsi="Times New Roman"/>
          <w:b/>
          <w:i/>
          <w:color w:val="010302"/>
          <w:sz w:val="20"/>
        </w:rPr>
        <w:t>governance requirements.</w:t>
      </w:r>
      <w:r>
        <w:rPr>
          <w:rFonts w:ascii="Times New Roman" w:hAnsi="Times New Roman"/>
          <w:color w:val="010302"/>
          <w:sz w:val="20"/>
        </w:rPr>
        <w:t xml:space="preserve"> </w:t>
      </w:r>
    </w:p>
    <w:p>
      <w:pPr>
        <w:pStyle w:val="TextBody"/>
        <w:bidi w:val="0"/>
        <w:jc w:val="both"/>
        <w:rPr>
          <w:rFonts w:ascii="Times New Roman" w:hAnsi="Times New Roman"/>
          <w:color w:val="010302"/>
          <w:sz w:val="20"/>
        </w:rPr>
      </w:pPr>
      <w:r>
        <w:rPr>
          <w:rFonts w:ascii="Times New Roman" w:hAnsi="Times New Roman"/>
          <w:color w:val="010302"/>
          <w:sz w:val="20"/>
        </w:rPr>
        <w:t>Pursuant to the Director Nomination Agreement, AE Industrial Partners controls a majority of the voting power of our outstanding voting stock with respect to the election of our directors, and as a result we are a controlled company within the meaning of Nasdaq corporate governance standards. Under Nasdaq rules, a company of which more than 50% of the voting power is held by another person or group of persons acting together is a controlled company and may elect not to comply with certain corporate governance requirements, including the requirements that:</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a majority of the Board of Directors consist of independent directors;</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the nominating and corporate governance committee be composed entirely of independent directors with a written charter addressing the committee's purpose and responsibilities; and</w:t>
      </w:r>
    </w:p>
    <w:p>
      <w:pPr>
        <w:pStyle w:val="TextBody"/>
        <w:bidi w:val="0"/>
        <w:spacing w:before="120" w:after="200"/>
        <w:jc w:val="both"/>
        <w:rPr>
          <w:color w:val="010302"/>
        </w:rPr>
      </w:pPr>
      <w:r>
        <w:rPr>
          <w:color w:val="010302"/>
        </w:rPr>
        <w:t>•</w:t>
      </w:r>
    </w:p>
    <w:p>
      <w:pPr>
        <w:pStyle w:val="TextBody"/>
        <w:bidi w:val="0"/>
        <w:spacing w:before="120" w:after="200"/>
        <w:jc w:val="both"/>
        <w:rPr>
          <w:rFonts w:ascii="Times New Roman" w:hAnsi="Times New Roman"/>
          <w:color w:val="010302"/>
          <w:sz w:val="20"/>
        </w:rPr>
      </w:pPr>
      <w:r>
        <w:rPr>
          <w:rFonts w:ascii="Times New Roman" w:hAnsi="Times New Roman"/>
          <w:color w:val="010302"/>
          <w:sz w:val="20"/>
        </w:rPr>
        <w:t>the compensation committee be composed entirely of independent directors with a written charter addressing the committee's purpose and responsibilities.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00"/>
        <w:jc w:val="both"/>
        <w:rPr>
          <w:rFonts w:ascii="Times New Roman" w:hAnsi="Times New Roman"/>
          <w:color w:val="010302"/>
          <w:sz w:val="20"/>
        </w:rPr>
      </w:pPr>
      <w:r>
        <w:rPr>
          <w:rFonts w:ascii="Times New Roman" w:hAnsi="Times New Roman"/>
          <w:color w:val="010302"/>
          <w:sz w:val="20"/>
        </w:rPr>
        <w:t>We intend to utilize these exemptions as long as we remain a controlled company. As a result, we may not have a majority of independent directors and our nominating and corporate governance committee and compensation committee may not consist entirely of independent directors. Accordingly, you may not have the same protections afforded to stockholders of companies that are subject to all of the corporate governance requirements of Nasdaq.</w:t>
      </w:r>
    </w:p>
    <w:p>
      <w:pPr>
        <w:pStyle w:val="TextBody"/>
        <w:bidi w:val="0"/>
        <w:jc w:val="both"/>
        <w:rPr>
          <w:rFonts w:ascii="Times New Roman" w:hAnsi="Times New Roman"/>
          <w:color w:val="010302"/>
          <w:sz w:val="20"/>
        </w:rPr>
      </w:pPr>
      <w:r>
        <w:rPr>
          <w:rFonts w:ascii="Times New Roman" w:hAnsi="Times New Roman"/>
          <w:color w:val="010302"/>
          <w:sz w:val="20"/>
        </w:rPr>
        <w:t>Pursuant to Rule 10C-1 under the Exchange Act, Nasdaq has adopted amendments to its listing standards that require, among other things, that:</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compensation committees be composed of fully independent directors, as determined pursuant to new independence requirements;</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compensation committees be explicitly charged with hiring and overseeing compensation consultants, legal counsel, and other committee advisors; and</w:t>
      </w:r>
    </w:p>
    <w:p>
      <w:pPr>
        <w:pStyle w:val="TextBody"/>
        <w:bidi w:val="0"/>
        <w:spacing w:before="120" w:after="283"/>
        <w:jc w:val="both"/>
        <w:rPr>
          <w:color w:val="010302"/>
        </w:rPr>
      </w:pPr>
      <w:r>
        <w:rPr>
          <w:color w:val="010302"/>
        </w:rPr>
        <w:t>•</w:t>
      </w:r>
    </w:p>
    <w:p>
      <w:pPr>
        <w:pStyle w:val="TextBody"/>
        <w:bidi w:val="0"/>
        <w:spacing w:before="120" w:after="283"/>
        <w:jc w:val="both"/>
        <w:rPr>
          <w:rFonts w:ascii="Times New Roman" w:hAnsi="Times New Roman"/>
          <w:color w:val="010302"/>
          <w:sz w:val="20"/>
        </w:rPr>
      </w:pPr>
      <w:r>
        <w:rPr>
          <w:rFonts w:ascii="Times New Roman" w:hAnsi="Times New Roman"/>
          <w:color w:val="010302"/>
          <w:sz w:val="20"/>
        </w:rPr>
        <w:t>compensation committees be required to consider, when engaging compensation consultants, legal counsel, or other advisors, certain independence factors, including factors that examine the relationship between the consultant or advisor's employer and us.</w:t>
      </w:r>
    </w:p>
    <w:p>
      <w:pPr>
        <w:pStyle w:val="TextBody"/>
        <w:bidi w:val="0"/>
        <w:spacing w:before="200" w:after="283"/>
        <w:jc w:val="both"/>
        <w:rPr>
          <w:rFonts w:ascii="Times New Roman" w:hAnsi="Times New Roman"/>
          <w:sz w:val="20"/>
        </w:rPr>
      </w:pPr>
      <w:r>
        <w:rPr>
          <w:rFonts w:ascii="Times New Roman" w:hAnsi="Times New Roman"/>
          <w:color w:val="010302"/>
          <w:sz w:val="20"/>
        </w:rPr>
        <w:t xml:space="preserve">As a </w:t>
      </w:r>
      <w:r>
        <w:rPr>
          <w:rFonts w:ascii="Times New Roman" w:hAnsi="Times New Roman"/>
          <w:color w:val="000000"/>
          <w:sz w:val="20"/>
        </w:rPr>
        <w:t>“</w:t>
      </w:r>
      <w:r>
        <w:rPr>
          <w:rFonts w:ascii="Times New Roman" w:hAnsi="Times New Roman"/>
          <w:color w:val="010302"/>
          <w:sz w:val="20"/>
        </w:rPr>
        <w:t>controlled company,</w:t>
      </w:r>
      <w:r>
        <w:rPr>
          <w:rFonts w:ascii="Times New Roman" w:hAnsi="Times New Roman"/>
          <w:color w:val="000000"/>
          <w:sz w:val="20"/>
        </w:rPr>
        <w:t>”</w:t>
      </w:r>
      <w:r>
        <w:rPr>
          <w:rFonts w:ascii="Times New Roman" w:hAnsi="Times New Roman"/>
          <w:color w:val="010302"/>
          <w:sz w:val="20"/>
        </w:rPr>
        <w:t xml:space="preserve"> we are not subject to these compensation committee independence requirements. </w:t>
      </w:r>
    </w:p>
    <w:p>
      <w:pPr>
        <w:pStyle w:val="TextBody"/>
        <w:bidi w:val="0"/>
        <w:spacing w:before="200" w:after="200"/>
        <w:jc w:val="both"/>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sz w:val="20"/>
        </w:rPr>
      </w:pPr>
      <w:bookmarkStart w:id="7" w:name="item_1c_cybersecurity"/>
      <w:bookmarkEnd w:id="7"/>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Cybersecurity Risk Management and Strategy</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Cybersecurity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believe cybersecurity is critical to advancing our strategy and the growth of our business and as a result, have implemented and maintain various information security processes designed to identify, assess, and manage material risks from cybersecurity threats. We manufacture and operate launch, landers, and spacecraft vehicles, and provide critical mission support to national security, government and commercial customers that depend on complex technology and face a multitude of cybersecurity threats.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CMMC Certification and CUI Management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Cybersecurity Maturity Model Certification (CMMC) certified, demonstrating our commitment to protecting Controlled Unclassified Information (CUI) and meeting DoW cybersecurity standards. We continue to expand the boundaries for management of CUI, adopting principles based on the National Institute of Standards and Technology Cybersecurity Framework 800-171 across the organization. This framework, integrated into our overall enterprise risk management system, enables us to implement comprehensive security controls designed to protect the confidentiality of sensitive information throughout our operations, supply chain, and business processes.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Third-Party Risk Management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also work cooperatively with our suppliers, subcontractors, venture partners and other parties. Failures and disruptions or compromises to our or our third parties’ systems may cause targeted cyber attacks or similar events or incidents to impact our business and operations. While we have built operational processes to help ensure the integrity of our design, manufacture, performance and servicing of our systems, there can be no assurance that we will not experience operational or process failures and other problems due to cyber incidents.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Cybersecurity Controls and Monitoring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 several methods for controlling cybersecurity risks and threats. We use next generation firewall hardware designed to identify threats and malware and block those in transit before they reach our networks. We utilize endpoint management software that identifies malware/viruses and blocks those before execution. We also implement software tools that create weekly reports of vulnerabilities for the Information Technology (“IT”) organization to review and action. Additionally, we have systems that collect logs and events from various elements within the networks including firewalls, servers, network hardware, and user equipment and displays all these events in one place for forensic analysis and tracking. If any security incidents do occur, they are tracked within our incident response system through to closure. We also engage periodically with third party consultants to assess cyber risk to both our mission operations network and our business operations network.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Material Impact and Future Considerations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not experienced any cybersecurity incidents that have had a material impact on our business strategy, results of operations or financial condition. Our costs to adequately counter the risk of cyber attacks and to comply with contractual and/or regulatory compliance requirements may increase significantly in the future. If there is a security vulnerability, error, or other bug in one of ours or our critical third-party systems or if there is a security exploit targeting them, we could face increased costs, claims, liability, reduced revenue, and harm to our reputation or competitive position. See “Risk Factors — Risks Related to Our Business — A failure of our information technology systems, physical or electronic security protections, or an interruption in their operation due to internal or external factors including cyber attacks or insider threats, could have a material adverse effect on our business, financial condition, or results of operations.”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Cybersecurity Governance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Board of Directors holds collective oversight responsibility for our strategic and operational risks. Assisting the Board of Directors in this capacity, our Audit Committee of the Board of Directors (the “Audit Committee”) thoroughly reviews and deliberates on our risk assessment and risk management practices, including cybersecurity risks, in collaboration with management. The Audit Committee provides periodic reports on these reviews to the full Board of Directors.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Management bears the responsibility for the day-to-day assessment and management of cybersecurity risks. Our Chief Information Officer (CIO) assumes primary oversight of material risks stemming from cybersecurity threats. With over 20 years of experience across various information technology roles, our CIO also serves as the Vice President accountable for the Information Technology organization and information protection. Our CIO is a Boardroom Certified Qualified Technology Expert (QTE), possessing the formal education necessary to serve as a corporate director or advise the corporate boardroom on digital, cybersecurity and systemic risk in complex digital business systems.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Reporting directly to our CIO, our Director of Cybersecurity brings over 13 years of experience in information systems, cybersecurity, and threat detection across both aerospace and U.S. Army organizations. He is a Certified Information Systems Security Professional (CISSP), demonstrating advanced expertise in security architecture, risk management, and security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CIO and Cybersecurity Director evaluate our cybersecurity readiness through a combination of internal assessment tools and third-party control tests, vulnerability assessments, audits, and alignment with industry standards. We maintain governance and compliance structures tailored to promptly escalate cybersecurity-related matters to our cybersecurity team, addressing potential threats or vulnerabilities. Incidents undergo evaluation based on their impact and potential materiality, followed by reporting to designated internal and external personnel in accordance with defined procedures. Moreover, we implement diverse defensive measures and continuous monitoring techniques, leveraging established industry frameworks and cybersecurity standards, including collaboration with third-party security operations centers.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CIO conducts periodic meetings with the Audit Committee to review our information technology systems and address significant cybersecurity risks.</w:t>
      </w:r>
    </w:p>
    <w:p>
      <w:pPr>
        <w:pStyle w:val="TextBody"/>
        <w:bidi w:val="0"/>
        <w:spacing w:before="0" w:after="200"/>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jc w:val="both"/>
        <w:rPr>
          <w:rFonts w:ascii="Times New Roman" w:hAnsi="Times New Roman"/>
          <w:color w:val="000000"/>
          <w:sz w:val="20"/>
        </w:rPr>
      </w:pPr>
      <w:r>
        <w:rPr>
          <w:rFonts w:ascii="Times New Roman" w:hAnsi="Times New Roman"/>
          <w:color w:val="000000"/>
          <w:sz w:val="20"/>
        </w:rPr>
        <w:t>As of December 31, 2025, our principal facilities are located just north of Austin, Texas, including our corporate headquarters and Hive spacecraft facility in Cedar Park, Texas and our Rocket Ranch manufacturing and testing site in Briggs, Texas. We own our facilities in Briggs, Texas and lease our other facilities. We also operate a launch site at Vandenberg Space Force Base in California, and we are building out infrastructure at Virginia’s Mid-Atlantic Regional Spaceport on Wallops Island to facilitate launches of our Alpha and Eclipse launch vehicles and Esrange Space Center in Sweden to enable launches of our Alpha launch vehicle. We also have a lease for a launch site at Cape Canaveral in Florida to support future launch needs. We have contractual rights to access these facilities but do not own these launch sites. Our properties also include SciTec's principal facilities leased in Colorado and New Jersey, which include data centers, modeling and simulation labs, instrumentation fabrication, test labs, mission operations centers, and classified infrastructure.</w:t>
      </w:r>
    </w:p>
    <w:p>
      <w:pPr>
        <w:pStyle w:val="TextBody"/>
        <w:bidi w:val="0"/>
        <w:spacing w:before="20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November 11, 2025, one of our purported stockholders filed a putative class action complaint in the United States District Court for the Western District of Texas in an action captioned Diamond v. Firefly Aerospace Inc., et al., Case No. 1:25-cv-01812 (W.D. Tex.) (the “Securities Action”). The complaint names us and certain of our current and former directors and officers as defendants,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asserts claims for alleged violations of Sections 10(b) and 20(a) of the Exchange Act and Rule 10b-5 promulgated thereunder and Sections 11 and 15 of the Securities Act arising from allegedly false or misleading statements or omissions of purportedly material fact concerning the demand and growth prospects of our Spacecraft Solutions offerings and the operational readiness and commercial viability of the Alpha rocket. Defendants’ time to answer, move to dismiss, or otherwise respond to the Diamond complaint has been stayed pending the Court’s appointment of a lead plaintiff pursuant to the Private Securities Litigation Reform Act of 1995.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23, 2025, one of our purported stockholders filed a complaint in the United States District Court for the Western District of Texas in an action captioned Shadowbolt v. Kim, et al., Case No. 1:25-cv-02126 (W.D. Tex.). The plaintiff seeks to pursue claims, purportedly on our behalf, against certain of our current and former directors and officers for alleged breaches of fiduciary duty and contribution under Section 21D of the Exchange Act and Section 11(f) of the Securities Act, among other common law causes of action, arising from substantially the same allegations at issue in the Securities Action. The Derivative Action is stayed in its entirety pending entry of final judgment, including after any appeals have been pursued or exhausted, in the Securities 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intend to defend vigorously against these allegations and claims, but we are currently unable to predict the outcome of these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position, results of operations, liquidity or capital resources.</w:t>
      </w:r>
    </w:p>
    <w:p>
      <w:pPr>
        <w:pStyle w:val="TextBody"/>
        <w:bidi w:val="0"/>
        <w:spacing w:before="200" w:after="283"/>
        <w:jc w:val="left"/>
        <w:rPr>
          <w:rFonts w:ascii="Times New Roman" w:hAnsi="Times New Roman"/>
          <w:b/>
          <w:color w:val="000000"/>
          <w:sz w:val="20"/>
        </w:rPr>
      </w:pPr>
      <w:bookmarkStart w:id="10" w:name="item_4_mine_safety_disclosures_1"/>
      <w:bookmarkEnd w:id="10"/>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83"/>
        <w:jc w:val="both"/>
        <w:rPr>
          <w:rFonts w:ascii="Times New Roman" w:hAnsi="Times New Roman"/>
          <w:b/>
          <w:color w:val="000000"/>
          <w:sz w:val="20"/>
        </w:rPr>
      </w:pPr>
      <w:bookmarkStart w:id="11" w:name="item_5_market_for_registrants_common"/>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Market Information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common stock commenced trading on the Nasdaq Global Market on August 8, 2025, under the symbol “FLY”. Prior to that, there was no public trading market for our common stock.</w:t>
      </w:r>
    </w:p>
    <w:p>
      <w:pPr>
        <w:pStyle w:val="TextBody"/>
        <w:bidi w:val="0"/>
        <w:jc w:val="both"/>
        <w:rPr>
          <w:rFonts w:ascii="Times New Roman" w:hAnsi="Times New Roman"/>
          <w:b/>
          <w:i/>
          <w:color w:val="000000"/>
          <w:sz w:val="20"/>
        </w:rPr>
      </w:pPr>
      <w:r>
        <w:rPr>
          <w:rFonts w:ascii="Times New Roman" w:hAnsi="Times New Roman"/>
          <w:b/>
          <w:i/>
          <w:color w:val="000000"/>
          <w:sz w:val="20"/>
        </w:rPr>
        <w:t>Holders of Record</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March 17, 2026, there were 602 stockholders of record of our common stock. This number does not include an indeterminate number of beneficial holders whose shares are held in “street name” through brokerage firms, clearing agencies, or other financial institutions.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Since our IPO, we have not declared or paid any dividends on our common stock, and we do not currently intend to pay any dividends on our common stock in the foreseeable future. Any future determination relating to our dividend policy will be made at the discretion of our Board of Directors and will depend on a number of factors, including restrictions in our current and future debt instruments, our future earnings, capital requirements, financial condition, prospects, and applicable Delaware law, which provides that dividends are only payable out of surplus or current net profits.</w:t>
      </w:r>
    </w:p>
    <w:p>
      <w:pPr>
        <w:pStyle w:val="TextBody"/>
        <w:bidi w:val="0"/>
        <w:jc w:val="both"/>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231F20"/>
          <w:sz w:val="20"/>
        </w:rPr>
      </w:pPr>
      <w:bookmarkStart w:id="13" w:name="item_7_managements_discussion_and_analys"/>
      <w:bookmarkEnd w:id="13"/>
      <w:r>
        <w:rPr>
          <w:rFonts w:ascii="Times New Roman" w:hAnsi="Times New Roman"/>
          <w:b/>
          <w:color w:val="231F20"/>
          <w:sz w:val="20"/>
        </w:rPr>
        <w:t>Item 7.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The following is a discussion and analysis of our financial condition and results of operations as of, and for, the periods presented. The following discussion and analysis of our financial condition and result of operations should be read in conjunction with the sections entitled “Risk Factors</w:t>
      </w:r>
      <w:r>
        <w:rPr>
          <w:rFonts w:ascii="Times New Roman" w:hAnsi="Times New Roman"/>
          <w:color w:val="000000"/>
          <w:sz w:val="20"/>
        </w:rPr>
        <w:t>”</w:t>
      </w:r>
      <w:r>
        <w:rPr>
          <w:rFonts w:ascii="Times New Roman" w:hAnsi="Times New Roman"/>
          <w:i/>
          <w:color w:val="000000"/>
          <w:sz w:val="20"/>
        </w:rPr>
        <w:t>, “Cautionary Note Regarding Forward-Looking Statements</w:t>
      </w:r>
      <w:r>
        <w:rPr>
          <w:rFonts w:ascii="Times New Roman" w:hAnsi="Times New Roman"/>
          <w:color w:val="000000"/>
          <w:sz w:val="20"/>
        </w:rPr>
        <w:t xml:space="preserve">” </w:t>
      </w:r>
      <w:r>
        <w:rPr>
          <w:rFonts w:ascii="Times New Roman" w:hAnsi="Times New Roman"/>
          <w:i/>
          <w:color w:val="000000"/>
          <w:sz w:val="20"/>
        </w:rPr>
        <w:t xml:space="preserve">and with the consolidated financial statements and accompanying notes included in this Annual Report on Form 10-K. Certain information contained in this discussion and analysis includes forward-looking statements, including statements regarding our expectations for the future of our business and our liquidity and capital resources as well as other non-historical statements. These statements are based upon our current plans, expectations, and beliefs, and are subject to numerous risks and uncertainties, including those described in Item 1 </w:t>
      </w:r>
      <w:r>
        <w:rPr>
          <w:rFonts w:ascii="Times New Roman" w:hAnsi="Times New Roman"/>
          <w:color w:val="000000"/>
          <w:sz w:val="20"/>
        </w:rPr>
        <w:t>“</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 xml:space="preserve">and the </w:t>
      </w:r>
      <w:r>
        <w:rPr>
          <w:rFonts w:ascii="Times New Roman" w:hAnsi="Times New Roman"/>
          <w:color w:val="000000"/>
          <w:sz w:val="20"/>
        </w:rPr>
        <w:t>“</w:t>
      </w:r>
      <w:r>
        <w:rPr>
          <w:rFonts w:ascii="Times New Roman" w:hAnsi="Times New Roman"/>
          <w:i/>
          <w:color w:val="000000"/>
          <w:sz w:val="20"/>
        </w:rPr>
        <w:t>Cautionary Note Regarding Forward-Looking Statements</w:t>
      </w:r>
      <w:r>
        <w:rPr>
          <w:rFonts w:ascii="Times New Roman" w:hAnsi="Times New Roman"/>
          <w:color w:val="000000"/>
          <w:sz w:val="20"/>
        </w:rPr>
        <w:t xml:space="preserve">” </w:t>
      </w:r>
      <w:r>
        <w:rPr>
          <w:rFonts w:ascii="Times New Roman" w:hAnsi="Times New Roman"/>
          <w:i/>
          <w:color w:val="000000"/>
          <w:sz w:val="20"/>
        </w:rPr>
        <w:t>section of this Annual Report on Form 10-K. Our actual results may differ materially from those contained in or implied by these forward-looking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company is a market leading space and defense technology company providing comprehensive mission solutions to national security, government, and commercial customers with an established track record of success. Our mission is to enable responsive and reliable launch, transit, and operations in space for our national security and commercial customers across the globe. Backed by our world-class team and proven technology, we have designed, developed, and deployed our class leading launch vehicles and dynamic spacecraft solutions, to support critical customer missions across the space domain. We operate as a single reportable segment and serve this critical domain through our differentiated and scalable platforms of Launch and Spacecraft Solutions. Our offerings include:</w:t>
      </w:r>
    </w:p>
    <w:p>
      <w:pPr>
        <w:pStyle w:val="TextBody"/>
        <w:bidi w:val="0"/>
        <w:spacing w:before="200" w:after="200"/>
        <w:jc w:val="both"/>
        <w:rPr>
          <w:rFonts w:ascii="Times New Roman" w:hAnsi="Times New Roman"/>
          <w:sz w:val="20"/>
        </w:rPr>
      </w:pPr>
      <w:r>
        <w:rPr>
          <w:rFonts w:ascii="Times New Roman" w:hAnsi="Times New Roman"/>
          <w:b/>
          <w:color w:val="000000"/>
          <w:sz w:val="20"/>
        </w:rPr>
        <w:t>Launch:</w:t>
      </w:r>
      <w:r>
        <w:rPr>
          <w:rFonts w:ascii="Times New Roman" w:hAnsi="Times New Roman"/>
          <w:color w:val="000000"/>
          <w:sz w:val="20"/>
        </w:rPr>
        <w:t xml:space="preserve"> Our launch vehicles provide dedicated and responsive launch capabilities for national security, government, and commercial customers. We are the only U.S. company with a liquid-powered orbital launch vehicle in the 1,000-kilogram payload class. Our Alpha launch vehicle employs a distinct combination of technologies designed to ensure high performance and efficiency at low cost. It uses a unique lightweight, rigid, and thermally insulated carbon composite technology for both the primary rocket structure as well as the propellant tanks, which ensures more of the usable mass goes to the mission payload. Alpha is also powered by our patented tap-off cycle engine technology, which is more efficient than legacy systems and provides greater reliability by employing fewer parts than those in traditional rocket engines. We have utilized this proprietary technology to develop and test all our rocket engines in-house. Alpha has five engines: four first stage Reaver engines, and one second stage Lightning engine. In addition to its track record of successful, dedicated, and responsive launch, Alpha is also designed to support testing of hypersonic payloads, providing significant growth opportunities for hypersonic deterrents, reconnaissance, and future national security needs. We are also expanding our launch pad operations from Vandenberg Space Force Base to add Virginia’s Mid-Atlantic Regional Spaceport on Wallops Island and the Esrange Space Center in Sweden to support more missions, customers, and additional launch cadence opportunities. The launch pad we're building in Sweden is our first expansion outside the U.S. and an initial step in our international market strategy. Sweden represents a proving ground for expansion of Alpha production and operations to U.S. allied nations – such as the United Kingdom, Japan, South Korea, Australia, and additional opportunities in Europe and the Middle East – as we look to serve global market demand for a sovereign-led franchise business model. </w:t>
      </w:r>
    </w:p>
    <w:p>
      <w:pPr>
        <w:pStyle w:val="TextBody"/>
        <w:bidi w:val="0"/>
        <w:jc w:val="both"/>
        <w:rPr>
          <w:rFonts w:ascii="Times New Roman" w:hAnsi="Times New Roman"/>
          <w:color w:val="000000"/>
          <w:sz w:val="20"/>
        </w:rPr>
      </w:pPr>
      <w:r>
        <w:rPr>
          <w:rFonts w:ascii="Times New Roman" w:hAnsi="Times New Roman"/>
          <w:color w:val="000000"/>
          <w:sz w:val="20"/>
        </w:rPr>
        <w:t xml:space="preserve">Eclipse is powered by eight Firefly-developed engines: seven first-stage Miranda engines and one second-stage Vira engine. The Miranda engine is built using the same engine architecture and patented tap-off cycle as the Reaver engine, while the Vira engine is based on Alpha’s second-stage vacuum-optimized Lightning engine. These common technologies are facilitating the fast, cost-efficient, and reliable development of Eclipse. Eclipse is being built to serve national security, commercial, and international launch markets at competitive pricing. Eclipse’s first stage is designed to be reusable, lowering production costs and improving cycle times for this launch platform. We are planning to construct a refurbishment facility that will facilitate this reusability. The first launch of Eclipse is expected to take place from Virginia’s Mid-Atlantic Regional Spaceport on Wallops Island, and Eclipse is designed to be compatible with additional launch ranges on the East and West Coasts of the United States. </w:t>
      </w:r>
    </w:p>
    <w:p>
      <w:pPr>
        <w:pStyle w:val="TextBody"/>
        <w:bidi w:val="0"/>
        <w:spacing w:before="200" w:after="283"/>
        <w:jc w:val="both"/>
        <w:rPr>
          <w:rFonts w:ascii="Times New Roman" w:hAnsi="Times New Roman"/>
          <w:sz w:val="20"/>
        </w:rPr>
      </w:pPr>
      <w:r>
        <w:rPr>
          <w:rFonts w:ascii="Times New Roman" w:hAnsi="Times New Roman"/>
          <w:b/>
          <w:color w:val="000000"/>
          <w:sz w:val="20"/>
        </w:rPr>
        <w:t>Spacecraft Solutions:</w:t>
      </w:r>
      <w:r>
        <w:rPr>
          <w:rFonts w:ascii="Times New Roman" w:hAnsi="Times New Roman"/>
          <w:color w:val="000000"/>
          <w:sz w:val="20"/>
        </w:rPr>
        <w:t xml:space="preserve"> Firefly is the only company to achieve a fully successful Moon landing, completing all 17 objectives set out before launch. After completing Blue Ghost Mission 1, we have a total of three additional missions under our NASA CLPS task orders. We expect our Blue Ghost lander to fly annual missions to the Moon, with payload services customized to the technology and exploration goals of our customers. Offering ride-share opportunities and dedicated missions, Blue Ghost is built to host and deliver payloads nearly anywhere on the lunar surface. Blue Ghost Mission 2 is expected to land on the far side of the Moon and conduct at least 10 days of lunar surface operations with the Blue Ghost lander, with an Elytra spacecraft supporting as a communications relay. This Elytra spacecraft is expected to remain operational in lunar orbit for up to five years. Blue Ghost Mission 2 is fully manifested with both NASA and commercial payloads, including a commercial rover and a ride-sharing international satellite. Blue Ghost Mission 3 is already under contract with NASA and we have selected Blue Origin as a partner to develop a rover to be delivered to the lunar surface.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Blue Ghost Mission 4 was awarded in July 2025 by NASA and will land at the Moon’s south pole region. Additionally, we have been selected by a proprietary commercial customer for a future dedicated Blue Ghost mission.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Elytra is a dynamic spacecraft that is highly maneuverable and extensible to perform hundreds of rendezvous proximity operations in support of space domain awareness and warfighting missions, long-range communications relay missions, on-orbit edge processing missions, and advanced Space Exploration missions. A constellation of 44 Elytra is expected to power a future long-haul communications relay for multiple customers. Blue Ghost and Elytra are highly complementary and compatible technologies that share a common core. Most of Elytra’s core hardware and software were proven at a variety of orbits through Blue Ghost’s successful Mission 1. As part of our end-to-end space services, Elytra offers robust on-orbit solutions and responsive defense capabilities when and where customers need them. Elytra is currently contracted to perform a responsive on-orbit mission in support of the U.S. Department of War’s (the “DoW”) Defense Innovation Unit (“DIU”). During this mission, Elytra will serve as a space maneuver vehicle to perform a series of on-orbit tasks including space domain awareness operations in Low Earth Orbit (“LEO”).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October 31, 2025, we closed the acquisition of SciTec, which bolsters Spacecraft Solutions hardware with AI-enabled defense software proven in operations for missile warning and defense, intelligence, surveillance and reconnaissance, space domain awareness, remote sensing and analysis, and autonomous command and control. SciTec's big data processing for national security and commercial customers includes cloud-based, on-premise, and edge processing of high-volume data at rate from satellites across all orbits to enable rapid decision making for warfighters, supports defense applications, and unlocks new service categories for commercial and government deep space missions. More broadly, SciTec's support of national security programs advances U.S. and allied defense capabilities, including Golden Dome, with a full suite of hardware and software for space-based interceptor missions, hypersonic test missions, and space domain awareness missions. The financial results of SciTec are included in our consolidated financial results following the closing date of the acquisition, and no historical periods ended prior to such date have been or are expected to be adjusted to give effect to the SciTec acquisition.</w:t>
      </w:r>
    </w:p>
    <w:p>
      <w:pPr>
        <w:pStyle w:val="TextBody"/>
        <w:bidi w:val="0"/>
        <w:jc w:val="both"/>
        <w:rPr>
          <w:rFonts w:ascii="Times New Roman" w:hAnsi="Times New Roman"/>
          <w:sz w:val="20"/>
        </w:rPr>
      </w:pPr>
      <w:r>
        <w:rPr>
          <w:rFonts w:ascii="Times New Roman" w:hAnsi="Times New Roman"/>
          <w:b/>
          <w:color w:val="000000"/>
          <w:sz w:val="20"/>
        </w:rPr>
        <w:t>Customers</w:t>
      </w:r>
      <w:r>
        <w:rPr>
          <w:rFonts w:ascii="Times New Roman" w:hAnsi="Times New Roman"/>
          <w:color w:val="000000"/>
          <w:sz w:val="20"/>
        </w:rPr>
        <w:t>: Our track record of success and our reputation as a trusted provider for our customers results in a highly attractive, diversified business model defined by significant backlog and cash flow visibility. Strong customer demand backs our financial profile with approximately $1.4 billion in backlog and multi-launch agreements across our product lines as of December 31, 2025. Underpinning our financial profile is the combination of efficient contract structure and milestone-based billing. Before launch, we typically have collected approximately 90% of the total contract value, which is highly advantageous as production ramps. We are also differentiated in our ability to successfully execute on firm-fixed-price contracts. We are ahead of the curve as the industry shifts in favor of firm-fixed-price contracts and are well-positioned to capitalize on this change. The addition of SciTec further diversified our customer base and added a mixture of cost-plus and firm-fixed-price contracts.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the space market continues to grow and evolve, we are well positioned to serve our customers’ most complex missions with rapid response times and purpose-built solutions. Our collaborations with leading national security agencies and aerospace companies, such as Lockheed Martin Corporation, Northrop Grumman, L3Harris, the U.S. Space Force, Space Development Agency, National Reconnaissance Office, and NASA demonstrate the value and criticality of our new space defense and technology leadership in this market. </w:t>
      </w:r>
    </w:p>
    <w:p>
      <w:pPr>
        <w:pStyle w:val="TextBody"/>
        <w:bidi w:val="0"/>
        <w:spacing w:before="200" w:after="283"/>
        <w:jc w:val="both"/>
        <w:rPr>
          <w:rFonts w:ascii="Times New Roman" w:hAnsi="Times New Roman"/>
          <w:sz w:val="20"/>
        </w:rPr>
      </w:pPr>
      <w:r>
        <w:rPr>
          <w:rFonts w:ascii="Times New Roman" w:hAnsi="Times New Roman"/>
          <w:b/>
          <w:color w:val="000000"/>
          <w:sz w:val="20"/>
        </w:rPr>
        <w:t>Operations</w:t>
      </w:r>
      <w:r>
        <w:rPr>
          <w:rFonts w:ascii="Times New Roman" w:hAnsi="Times New Roman"/>
          <w:color w:val="000000"/>
          <w:sz w:val="20"/>
        </w:rPr>
        <w:t xml:space="preserve">: We strategically deployed capital to build state-of-the-art infrastructure to design, produce, test, and manufacture our products to the highest standard at a regular cadence. Our three primary facilities – corporate headquarters, Hive spacecraft facility, and Rocket Ranch manufacturing and testing site–are only 25 miles apart, providing unique proximity between design, manufacturing, and production. The proximity of our core facilities enables agile and rapid vehicle development and production at lower cost versus competitors.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purpose-built research and development, manufacturing, and testing footprint is the product of significant investments and the backbone of our manufacturing process. We designed our advanced manufacturing process through years of optimization that now allow us to replicate our additional facilities with significantly less capital outlay. Each of our launch sites were chosen intentionally to enhance flexibility for our customers. Our early investment in cutting-edge technology and best-in-class facilities is a competitive advantage, creating a platform primed for continued growth. The acquisition of SciTec added data centers, modeling and simulation labs, mission operations centers, and classified infrastructure with six locations strategically positioned near key space and defense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we scale, we have and expect to continue to replicate our proprietary manufacturing and testing processes, resulting in reduced cycle times and further capital efficiency.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we have deep, long-term relationships with our key suppliers. By maintaining a vertically integrated manufacturing process, we are less reliant on the timelines of outside suppliers and reduce risk within our supply chain.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full suite of manufacturing capabilities is supplemented by four launch sites, which will continue to enhance flexibility and responsiveness for our missions. We are currently launching from the Vandenberg Space Force Base launch site in California. Additional launch sites are under construction at Virginia’s Mid-Atlantic Regional Spaceport on Wallops Island and the Esrange Space Center in Sweden, and we plan to unlock future launch pad capacity from expected expansion at Cape Canaveral Space Force Station in Florida. Our significant scale and unique blueprint are strategically planned to support our increasing launch cadence as we grow.</w:t>
      </w:r>
    </w:p>
    <w:p>
      <w:pPr>
        <w:pStyle w:val="TextBody"/>
        <w:bidi w:val="0"/>
        <w:spacing w:before="200" w:after="200"/>
        <w:jc w:val="both"/>
        <w:rPr>
          <w:rFonts w:ascii="Times New Roman" w:hAnsi="Times New Roman"/>
          <w:sz w:val="20"/>
        </w:rPr>
      </w:pPr>
      <w:r>
        <w:rPr>
          <w:rFonts w:ascii="Times New Roman" w:hAnsi="Times New Roman"/>
          <w:b/>
          <w:i/>
          <w:color w:val="000000"/>
          <w:sz w:val="20"/>
        </w:rPr>
        <w:t>Backlog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view growth in backlog as a key measure of our business growth. Backlog represents our estimate of the revenue we expect to realize in future periods as a result of performing work on contracts that have been awarded to us, net of any revenue already recognized. We include the aggregate expected revenue of awarded contracts in our backlog upon the execution of a legally binding agreement, even though our contracts include certain termination rights exercisable by our customers with advance notice. Deferred revenue recognized on our consolidated balance sheets consists of payments and billings that we have received in excess of revenue that we have recognized. Because cash receipts from these contracts have not been recognized into revenue, they are included in our backlog calculation.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view growth in backlog as a key measure of our future business prospects. We monitor our backlog because we believe it is a forward-looking indicator of potential sales which can be helpful to investors in evaluating the performance of our business and identifying trends over time. Although backlog reflects business associated with contracts that are considered to be firm, terminations, amendments, or contract cancellations may occur, which could result in a reduction in our total backlog and potential future revenue that never gets recognized.</w:t>
      </w:r>
    </w:p>
    <w:tbl>
      <w:tblPr>
        <w:tblW w:w="4354" w:type="dxa"/>
        <w:jc w:val="left"/>
        <w:tblInd w:w="0" w:type="dxa"/>
        <w:tblLayout w:type="fixed"/>
        <w:tblCellMar>
          <w:top w:w="28" w:type="dxa"/>
          <w:left w:w="28" w:type="dxa"/>
          <w:bottom w:w="28" w:type="dxa"/>
          <w:right w:w="28" w:type="dxa"/>
        </w:tblCellMar>
      </w:tblPr>
      <w:tblGrid>
        <w:gridCol w:w="1441"/>
        <w:gridCol w:w="146"/>
        <w:gridCol w:w="211"/>
        <w:gridCol w:w="931"/>
        <w:gridCol w:w="146"/>
        <w:gridCol w:w="146"/>
        <w:gridCol w:w="211"/>
        <w:gridCol w:w="931"/>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amounts relate to executed multi-launch agreements where the missions have not yet been scheduled as of the backlog date. These amounts are included as part of the total backlog.</w:t>
      </w:r>
    </w:p>
    <w:tbl>
      <w:tblPr>
        <w:tblW w:w="5404" w:type="dxa"/>
        <w:jc w:val="left"/>
        <w:tblInd w:w="0" w:type="dxa"/>
        <w:tblLayout w:type="fixed"/>
        <w:tblCellMar>
          <w:top w:w="28" w:type="dxa"/>
          <w:left w:w="28" w:type="dxa"/>
          <w:bottom w:w="28" w:type="dxa"/>
          <w:right w:w="28" w:type="dxa"/>
        </w:tblCellMar>
      </w:tblPr>
      <w:tblGrid>
        <w:gridCol w:w="2791"/>
        <w:gridCol w:w="146"/>
        <w:gridCol w:w="211"/>
        <w:gridCol w:w="781"/>
        <w:gridCol w:w="146"/>
        <w:gridCol w:w="146"/>
        <w:gridCol w:w="211"/>
        <w:gridCol w:w="78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Multi-launch agreement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Trends and Key Factors Affecting Performance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Macroeconomic Pressures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recent years, geopolitical instability, including wars and conflicts, as well as impacts from other global events, have resulted in opportunities for companies in the space and defense technology market. However, certain disruptions to the global economy, including market disruptions, monetary, and fiscal policy uncertainty, supply chain challenges, high interest rates and inflationary pressures have contributed to an inflationary environment that has adversely affected, and may continue to adversely affect, the price and availability of certain products and services necessary for our operations, which in turn may adversely impact our business and operating results. Since early 2025, the U.S. administration announced the imposition of tariffs on substantially all countries that trade with the United States. As the implementation of tariffs is ongoing, more tariffs may be added in the future and countermeasures may be adopted by other countries. In addition, any additional tariffs imposed by the U.S. presidential administration or retaliatory tariffs announced by other countries could result in a trade war, lead to market disruptions, including significant volatility in commodity prices, credit, and capital markets, as well as supply chain interruptions for equipment. These tariffs could adversely impact our business, financial condition, and results of operations, and if we are unable to pass such price increases through to our customers, it would likely increase our cost of sales and, as a result, decrease our gross margins, operating income, and net income. The impact of tariffs on our business and results of operations will depend on their timing, duration and magnitude.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Government Environment and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industry is affected by government budget and spending levels, changes in demand, changes in policy positions or priorities, the domestic and global political and economic environment, and the evolving nature of the space and defense sectors. In particular, the expansion of adversarial budgets to fund the development of hypersonic technologies poses a direct threat to the U.S., fueling this market momentum. Any changes in budget and spending levels, policies, or priorities, including the current emphasis by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U.S. presidential administration on access to space, may have an adverse impact on our business and operating results. In addition, U.S. government procurement regulations impose various operational requirements on government contractors. Non-compliance with any of these regulations could materially adversely affect our operating results.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Pace of Government Expenditures and Private Enterprise Investment in the Space Economy</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Our future growth is largely dependent on our ability to continue to capitalize on increased government spending and private investment in the space economy. Government expenditures and private enterprise investment have fueled our growth in recent years and have resulted in our continued ability to secure increasingly valuable contracts for products and services as well as the ability to continue financing the growth and development of our business. We expect the continued availability and growth of government expenditures and private investment in the space economy will be an important contributor to increased purchases of our products and services; however, any delays or reductions in appropriations for our programs and changes in U.S. government priorities and spending levels more broadly may negatively impact our business. </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Any future prolonged U.S. government shutdown or the adoption of a </w:t>
      </w:r>
      <w:r>
        <w:rPr>
          <w:rFonts w:ascii="Times New Roman" w:hAnsi="Times New Roman"/>
          <w:color w:val="000000"/>
          <w:sz w:val="20"/>
        </w:rPr>
        <w:t>“</w:t>
      </w:r>
      <w:r>
        <w:rPr>
          <w:rFonts w:ascii="Times New Roman" w:hAnsi="Times New Roman"/>
          <w:color w:val="212529"/>
          <w:sz w:val="20"/>
        </w:rPr>
        <w:t>continuing resolution</w:t>
      </w:r>
      <w:r>
        <w:rPr>
          <w:rFonts w:ascii="Times New Roman" w:hAnsi="Times New Roman"/>
          <w:color w:val="000000"/>
          <w:sz w:val="20"/>
        </w:rPr>
        <w:t>”</w:t>
      </w:r>
      <w:r>
        <w:rPr>
          <w:rFonts w:ascii="Times New Roman" w:hAnsi="Times New Roman"/>
          <w:color w:val="212529"/>
          <w:sz w:val="20"/>
        </w:rPr>
        <w:t xml:space="preserve"> requiring the government to operate on funding levels equivalent to its prior fiscal year, could have an adverse impact on our results and growth plans. Additionally, a prolonged shutdown and any subsequent lapse in federal funding could cause U.S. federal government agencies to reduce their purchases under contracts, exercise their right to terminate contracts, or delay or pause new programs or funding existing programs, all of which could decrease our revenue and materially adversely impact our business, revenue,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the Expansion of Launch and Spacecraft Mission Operations</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The launch market is rapidly expanding, with significant demand for launch and spacecraft solutions and services. Our success and ability to generate higher revenue will depend in large part on our ability to expand our Launch and Spacecraft Solutions offerings and to continue the deployment and development of our launch vehicles on a timely basis. As a result, our revenue and results of operations are subject to fluctuation depending on the number of launch missions scheduled and completed in a period and any launch delays.</w:t>
      </w:r>
    </w:p>
    <w:p>
      <w:pPr>
        <w:pStyle w:val="TextBody"/>
        <w:bidi w:val="0"/>
        <w:spacing w:before="200" w:after="283"/>
        <w:jc w:val="both"/>
        <w:rPr>
          <w:rFonts w:ascii="Times New Roman" w:hAnsi="Times New Roman"/>
          <w:sz w:val="20"/>
        </w:rPr>
      </w:pPr>
      <w:r>
        <w:rPr>
          <w:rFonts w:ascii="Times New Roman" w:hAnsi="Times New Roman"/>
          <w:color w:val="212529"/>
          <w:sz w:val="20"/>
        </w:rPr>
        <w:t xml:space="preserve">We expect to continue to ramp up our launch cadence as we increase our production rate on Alpha rockets, and complete development of Eclipse. We successfully completed our first lunar landing on March 2, 2025, with additional Blue Ghost missions planned in 2026 and 2028. </w:t>
      </w:r>
      <w:r>
        <w:rPr>
          <w:rFonts w:ascii="Times New Roman" w:hAnsi="Times New Roman"/>
          <w:color w:val="000000"/>
          <w:sz w:val="20"/>
        </w:rPr>
        <w:t xml:space="preserve">Empowered by our successful Blue Ghost mission and common technologies across spacecraft, we believe we are well positioned to unlock adjacent markets and contracts via our multi-mission orbital vehicle, Elytra. </w:t>
      </w:r>
      <w:r>
        <w:rPr>
          <w:rFonts w:ascii="Times New Roman" w:hAnsi="Times New Roman"/>
          <w:color w:val="212529"/>
          <w:sz w:val="20"/>
        </w:rPr>
        <w:t xml:space="preserve">Any delays in commencing our missions, including due to delays or cost overruns in obtaining licenses or other regulatory approvals, launch delays or failures (for example, failures similar to the event on September 29, 2025 during the testing of our Alpha Flight 7 rocket at our facility in Briggs, Texas, which resulted in damage to the test stand but no material impact to our results of operations), or entering into future agreements with additional customers could adversely impact our ability to generate revenue, results of operations, and growth plans. We have approximately </w:t>
      </w:r>
      <w:r>
        <w:rPr>
          <w:rFonts w:ascii="Times New Roman" w:hAnsi="Times New Roman"/>
          <w:color w:val="000000"/>
          <w:sz w:val="20"/>
        </w:rPr>
        <w:t>$1.4</w:t>
      </w:r>
      <w:r>
        <w:rPr>
          <w:rFonts w:ascii="Times New Roman" w:hAnsi="Times New Roman"/>
          <w:color w:val="212529"/>
          <w:sz w:val="20"/>
        </w:rPr>
        <w:t xml:space="preserve"> billion in backlog, as of December 31, 2025, and we are in active discussions with numerous potential customers, including government agencies and private companies, to potentially add to our backlog.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Improve Profit Margins and Scale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growth of our business is dependent on our ability to improve our profit margins over time while successfully scaling our business, including through continued investment in initiatives to improve our operating leverage. We believe continued reduction in costs and an increase in production and service volumes will enable a reduction of the cost of launch vehicles and an improvement of our gross margins. As we increase our launch cadence, we expect to be able to continue to improve our cost structure as fixed and overhead costs are amortized over a greater number of launches. Revenue, net income, and the timing of our cash flows also depend on our ability to perform on our contracts, and profitability can fluctuate depending on the mix of contracts awarded. To manage these fluctuations, we have implemented several strategies, such as closely monitoring project and related services timelines to anticipate cash flow needs. Despite these measures, the inherent variability in milestone achievements means that quarter-to-quarter comparisons of our results of operations may not necessarily be indicative of future performance.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to Innovate and Expand our Service Offerings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continue gaining market share and attracting customers, we plan to continue to make substantial investments in R&amp;D for the continued enhancements of our Launch and Spacecraft Solutions. Our growth opportunity is dependent on our continued ability to expand our addressable launch market, win lunar and orbital missions and expand our portfolio of services related to those offerings. For instance, building on our launch, lander, transit, and operations success with Alpha and Blue Ghost, we are on track for our spacecraft offerings to facilitate payload hosting services, transport services, utility services, and data services in LEO, MEO, and GEO. Our acquisition of SciTec adds the development of adaptable missile defense and mission data processing capability to our Spacecraft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Solutions service portfolio. We plan to continue to forge strategic partnerships with industry leaders to enhance our technological capabilities and market reach.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Revenue – </w:t>
      </w:r>
      <w:r>
        <w:rPr>
          <w:rFonts w:ascii="Times New Roman" w:hAnsi="Times New Roman"/>
          <w:color w:val="000000"/>
          <w:sz w:val="20"/>
        </w:rPr>
        <w:t xml:space="preserve">Our revenue is primarily derived from long-term contracts to provide launch and integration services for payloads requiring transportation into orbit via launch vehicles and to provide end-to-end services for the integration and transportation of payloads, and to provide products and services to government entities for national defense missions.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Launch revenue includes revenues from contracts with commercial and government entities to provide launch and integration services for payloads requiring transportation into orbit via launch vehicles. These contracts may include milestone payments and deposits. We consider the performance obligation to be the initiation of the launch and recognize revenue at that point in time. We also enter into contracts with our customers to provide engineering services, related components, and develop and provide licenses to intellectual property. In these cases, our service obligation is satisfied over time since the tasks are performed according to the customer’s specifications, which creates an asset with no alternative use to us and we have an enforceable right to payment for performance completed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Spacecraft Solutions revenue includes revenue from contracts with commercial and government entities to provide end-to-end services to integrate payloads into Blue Ghost and Elytra for transport to the Moon and on-orbit space domain awareness missions, respectively, as well as to develop and provide software, sensor, and data processing capabilities for national defense missions. These contracts include firm-fixed-price, cost-plus, and time-and-materials pricing structures. For commercial payload services we consider the performance obligation to be the integration of customer payloads for delivery to specified destinations. These contracts typically require that the customer make milestone payments as specific conditions and tasks are performed. For software, sensor, and data processing contracts, we consider the performance obligation to be the development and implementation of the contracted solution. These contracts require customers to make milestone payments as specific conditions and tasks are performed, or regular periodic payments as costs are incurred. Performance obligations are satisfied over time since either (1) the tasks are performed according to the customer’s specifications and create an asset with no alternative use to us, or (2) the customer receives and consumes benefits as work is completed and we have an enforceable right to payment for performance completed to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revenue streams, we consider customer payments that are contingent on the success of a mission or that are dependent on award criteria to be variable consideration. We assess the likelihood of success of a mission or achievement of contractual award requirements at inception and may defer the recognition of some or all of the variable consideration until success of the mission is assured or the award fee amount is determined.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perform work under contracts that broadly consist of firm-fixed-price, cost-plus, cost reimbursable, and time-and-materials arrangements, or a combination thereof. Pricing is contractually based on specific negotiations with each customer. Advanced payments and billings for milestones in excess of revenues recognized are recorded as current and non-current deferred revenue in our consolidated balance sheets and recognized into revenue as we satisfy the underlying performance obligations. Occasionally we recognize revenue in advance of customer billings which creates a contract asset recorded within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fixed-price contracts satisfied over time, progress is measured using a cost-to-cost method, which accurately reflects the transfer of control to the customer. This method assesses the extent of progress based on the ratio of costs incurred to date against the total estimated costs to complete the performance obligation. Estimating total costs to complete requires us to make informed estimates regarding subcontractor performance, material costs and availability, labor costs and productivity, as well as overhead expenses.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contractual obligations are achieved.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Cost-reimbursable, cost-plus, and time-and-materials contracts with the U.S. government are generally subject to the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Should the estimated total costs to be incurred on a contract surpass the anticipated total revenue, we recognize a provision for the entire loss on the contract in the period when the loss is identified. For further discussion of the critical judgments and estimates related to our revenue recognition policies, see the section titled “Critical Accounting Estimates.”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Sales </w:t>
      </w:r>
      <w:r>
        <w:rPr>
          <w:rFonts w:ascii="Times New Roman" w:hAnsi="Times New Roman"/>
          <w:color w:val="000000"/>
          <w:sz w:val="20"/>
        </w:rPr>
        <w:t xml:space="preserve">– primarily consists of raw materials, employee and contractor compensation, and other costs directly attributable to fulfilling our obligations under customer contracts. Costs of sales are expensed as incurred. We expect our cost of sales to increase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relative and absolute dollars in future periods as we sell more services and as our products mature to technological feasibility and reach full-rate production. </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Research and Development – </w:t>
      </w:r>
      <w:r>
        <w:rPr>
          <w:rFonts w:ascii="Times New Roman" w:hAnsi="Times New Roman"/>
          <w:color w:val="000000"/>
          <w:sz w:val="20"/>
        </w:rPr>
        <w:t>includes employee and contractor compensation, supplies and materials for new service development, depreciation and amortization, and regulatory compliance costs. Research and development costs are expensed as incurred. We expect to continue investing in research and development and, accordingly, expect our research and development expenses to vary as we continue to invest in developing and improving our services, and as our products reach technological feasibility and full-rate production.</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Selling, General, and Administrative </w:t>
      </w:r>
      <w:r>
        <w:rPr>
          <w:rFonts w:ascii="Times New Roman" w:hAnsi="Times New Roman"/>
          <w:color w:val="000000"/>
          <w:sz w:val="20"/>
        </w:rPr>
        <w:t>– includes personnel-related expenses, depreciation and amortization, and facilities-related costs primarily for our executive, marketing, finance, accounting, legal, and human resources functions. Selling, general, and administrative expenses also include expenses related to advertising, insurance, sales commission and fees for professional services principally consisting of legal, audit, and tax, as well as executive management expenses and transaction-related costs. Selling, general, and administrative expenses are expensed as incurred. We expect to incur additional selling, general, and administrative expenses as we begin operations as a public company, including expenses related to compliance with public company reporting obligations, and increased costs for insurance, investor relations, and professional services. As a result, we expect that our selling, general, and administrative expenses will increase in future periods and vary from period to period as a percentage of revenue.</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Loss on Disposal of Fixed Assets – </w:t>
      </w:r>
      <w:r>
        <w:rPr>
          <w:rFonts w:ascii="Times New Roman" w:hAnsi="Times New Roman"/>
          <w:color w:val="000000"/>
          <w:sz w:val="20"/>
        </w:rPr>
        <w:t>reflects the losses associated with the disposal of property and equipment outside the normal course of business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Change in Fair Value of Warrant Liability</w:t>
      </w:r>
      <w:r>
        <w:rPr>
          <w:rFonts w:ascii="Times New Roman" w:hAnsi="Times New Roman"/>
          <w:color w:val="000000"/>
          <w:sz w:val="20"/>
        </w:rPr>
        <w:t xml:space="preserve"> – represents the period-over-period remeasurement gain or loss recognized related to our liability-classified warrants.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Loss on Extinguishment of Debt – </w:t>
      </w:r>
      <w:r>
        <w:rPr>
          <w:rFonts w:ascii="Times New Roman" w:hAnsi="Times New Roman"/>
          <w:color w:val="000000"/>
          <w:sz w:val="20"/>
        </w:rPr>
        <w:t>represents the excess of the reacquisition price over the carrying amount of debt upon repayment.</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 consists primarily of interest expense incurred on borrowings under our Revolving Credit Facility</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 consists primarily of interest income earned on cash and cash equivalents.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Gain on Settlement of Contingent Liabilities </w:t>
      </w:r>
      <w:r>
        <w:rPr>
          <w:rFonts w:ascii="Times New Roman" w:hAnsi="Times New Roman"/>
          <w:color w:val="000000"/>
          <w:sz w:val="20"/>
        </w:rPr>
        <w:t>– reflects the derecognition of contingent liabilities due to the resolution of certain litigation and contract disputes during the year, net of the derecognition of related contract assets.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Other Income, Net – </w:t>
      </w:r>
      <w:r>
        <w:rPr>
          <w:rFonts w:ascii="Times New Roman" w:hAnsi="Times New Roman"/>
          <w:color w:val="000000"/>
          <w:sz w:val="20"/>
        </w:rPr>
        <w:t>reflects miscellaneous income and expense unrelated to our core business activities.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Income Tax Benefit – </w:t>
      </w:r>
      <w:r>
        <w:rPr>
          <w:rFonts w:ascii="Times New Roman" w:hAnsi="Times New Roman"/>
          <w:color w:val="000000"/>
          <w:sz w:val="20"/>
        </w:rPr>
        <w:t xml:space="preserve">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discusses our results of operations for the years ended December 31, 2025 and 2024 and year-to-year comparisons between 2025 and 2024. Discussions of our results of operations for the year ended December 31, 2023 and year-to-year comparisons between 2024 and 2023 are not included in this Annual Report on Form 10-K and may be found in “Management's Discussion and Analysis of Financial Condition and Results of Operations” in our Registration Statement on Form S-1 (File No: 333-288646) filed with the SEC on July 11, 2025.</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Comparison of the Year Ended 2025 to the Year Ended 2024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periods indicated, and the changes between periods.</w:t>
      </w:r>
    </w:p>
    <w:tbl>
      <w:tblPr>
        <w:tblW w:w="9561" w:type="dxa"/>
        <w:jc w:val="left"/>
        <w:tblInd w:w="0" w:type="dxa"/>
        <w:tblLayout w:type="fixed"/>
        <w:tblCellMar>
          <w:top w:w="28" w:type="dxa"/>
          <w:left w:w="28" w:type="dxa"/>
          <w:bottom w:w="28" w:type="dxa"/>
          <w:right w:w="28" w:type="dxa"/>
        </w:tblCellMar>
      </w:tblPr>
      <w:tblGrid>
        <w:gridCol w:w="3816"/>
        <w:gridCol w:w="146"/>
        <w:gridCol w:w="211"/>
        <w:gridCol w:w="841"/>
        <w:gridCol w:w="166"/>
        <w:gridCol w:w="146"/>
        <w:gridCol w:w="211"/>
        <w:gridCol w:w="841"/>
        <w:gridCol w:w="166"/>
        <w:gridCol w:w="146"/>
        <w:gridCol w:w="211"/>
        <w:gridCol w:w="841"/>
        <w:gridCol w:w="166"/>
        <w:gridCol w:w="146"/>
        <w:gridCol w:w="230"/>
        <w:gridCol w:w="761"/>
        <w:gridCol w:w="51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w:t>
              <w:br/>
              <w:t>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disposal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i/>
          <w:color w:val="000000"/>
          <w:sz w:val="16"/>
        </w:rPr>
      </w:pPr>
      <w:r>
        <w:rPr>
          <w:rFonts w:ascii="Times New Roman" w:hAnsi="Times New Roman"/>
          <w:i/>
          <w:color w:val="000000"/>
          <w:sz w:val="16"/>
        </w:rPr>
        <w:t>* not meaningful</w:t>
      </w:r>
    </w:p>
    <w:p>
      <w:pPr>
        <w:pStyle w:val="TextBody"/>
        <w:bidi w:val="0"/>
        <w:spacing w:before="0" w:after="200"/>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a summary of our revenue by type for the periods indicated, and the changes between comparative periods.</w:t>
      </w:r>
    </w:p>
    <w:tbl>
      <w:tblPr>
        <w:tblW w:w="7685" w:type="dxa"/>
        <w:jc w:val="left"/>
        <w:tblInd w:w="0" w:type="dxa"/>
        <w:tblLayout w:type="fixed"/>
        <w:tblCellMar>
          <w:top w:w="28" w:type="dxa"/>
          <w:left w:w="28" w:type="dxa"/>
          <w:bottom w:w="28" w:type="dxa"/>
          <w:right w:w="28" w:type="dxa"/>
        </w:tblCellMar>
      </w:tblPr>
      <w:tblGrid>
        <w:gridCol w:w="2476"/>
        <w:gridCol w:w="146"/>
        <w:gridCol w:w="211"/>
        <w:gridCol w:w="781"/>
        <w:gridCol w:w="146"/>
        <w:gridCol w:w="146"/>
        <w:gridCol w:w="211"/>
        <w:gridCol w:w="676"/>
        <w:gridCol w:w="146"/>
        <w:gridCol w:w="146"/>
        <w:gridCol w:w="214"/>
        <w:gridCol w:w="687"/>
        <w:gridCol w:w="146"/>
        <w:gridCol w:w="146"/>
        <w:gridCol w:w="255"/>
        <w:gridCol w:w="736"/>
        <w:gridCol w:w="4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w:t>
              <w:br/>
              <w:t>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Total revenue increased by $99.1 million, or 163%, to $159.9 million during the year ended December 31, 2025 from $60.8 million during the year ended December 31, 2024, primarily driven by the factors discussed below.</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Launch revenue increased by $6.0 million, or 26%, to $28.6 million during the year ended December 31, 2025 from $22.6 million during the year ended December 31, 2024, primarily due to increased progress on Eclipse design and manufacturing as well as revenue earned for engineering services related to the development of launch facilities.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Spacecraft Solutions revenue increased by $93.1 million, or 244%, to $131.2 million during the year ended December 31, 2025 from $38.2 million during the year ended December 31, 2024 primarily driven by the successful completion of, and data sales from Blue Ghost Mission 1 during 2025, and progress on Blue Ghost Missions 2, 3, and 4, as well as contributions from SciTec, which was acquired in the fourth quarter of 2025.</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Cost of sales increased by $57.0 million, or 79%, to $129.2 million during the year ended December 31, 2025 from $72.2 million during the year ended December 31, 2024, aligning with the increases in revenue related to our Spacecraft Solutions and Launch programs.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Research and development costs increased by $50.6 million, or 34%, to $200.1 million during the year ended December 31, 2025 from $149.5 million during the year ended December 31, 2024. The growth is primarily driven by an increase in costs related to the Alpha and Eclipse programs, depreciation and amortization from newly acquired assets being placed into service as we continue to invest in scaling our infrastructure, nonrecurring Spacecraft Solutions R&amp;D, and other R&amp;D efforts.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September 29, 2025, during testing at Firefly’s facility in Briggs, Texas, the first stage of Firefly’s Alpha Flight 7 rocket experienced an event that resulted in damage to the test stand. The event resulted in no material impact to the our results of operations, as the affected test stand was fully depreciated prior to the event. We wrote-off certain test stand assets of $1.8 million against previously accumulated depreciation during the year ended December 31, 2025 as a result of the event. </w:t>
      </w:r>
    </w:p>
    <w:p>
      <w:pPr>
        <w:pStyle w:val="TextBody"/>
        <w:bidi w:val="0"/>
        <w:spacing w:before="0" w:after="200"/>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Selling, general, and administrative expenses increased by $44.4 million, or 95%, to $91.2 million during the year ended December 31, 2025 from $46.8 million during the year ended December 31, 2024, The increase was primarily driven by SciTec's inclusion in our consolidated results for the final two months of 2025, one-time costs related to our IPO, the SciTec acquisition and integration-related costs, stock-based compensation expense, and growth in our corporate infrastructure to support public company operations.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income increased by $15.6 million, or 600%, to $18.2 million during the year ended December 31, 2025 from $2.6 million during the year ended December 31, 2024. This increase reflects the interest income earned on the strategic investment of our IPO proceeds for the benefit of our working capital.</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expense decreased by $1.4 million, or 6%, to $21.6 million during the year ended December 31, 2025 from $23.0 million during the year ended December 31, 2024. This was due to the payoff of the Term Loans with a portion of the IPO proceeds.</w:t>
      </w:r>
    </w:p>
    <w:p>
      <w:pPr>
        <w:pStyle w:val="TextBody"/>
        <w:bidi w:val="0"/>
        <w:spacing w:before="0" w:after="200"/>
        <w:jc w:val="both"/>
        <w:rPr>
          <w:rFonts w:ascii="Times New Roman" w:hAnsi="Times New Roman"/>
          <w:sz w:val="20"/>
        </w:rPr>
      </w:pPr>
      <w:r>
        <w:rPr>
          <w:rFonts w:ascii="Times New Roman" w:hAnsi="Times New Roman"/>
          <w:b/>
          <w:i/>
          <w:color w:val="000000"/>
          <w:sz w:val="20"/>
        </w:rPr>
        <w:t>Income Tax Benefit</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Our income tax benefit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Adjusted EBITDA is a non-GAAP financial measure. We define Adjusted EBITDA as net loss adjusted for the income tax benefit from our acquisition of SciTec, interest income, interest expense, depreciation and amortization, stock-based compensation expense, the change in fair value of warrant liability, (gain) loss on disposal of fixed assets, loss on extinguishment of debt, certain one-time costs related to the IPO, transaction-related expenses, gain on settlement of contingent liabilities, and certain other items that are not expected to recur in the future or that management does not view as reflective of the performance of the business. In addition to net loss, we use Adjusted EBITDA to evaluate our business, measure its performance, and make strategic decisions.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We believe that Adjusted EBITDA provides useful information to management, investors, and analysts in assessing our financial performance and results of operations across reporting periods by excluding items we do not believe are indicative of our core operating performance. Net loss is the U.S. GAAP measure most directly comparable to Adjusted EBITDA. Adjusted EBITDA should not be considered as an alternative to net loss.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presentation of Adjusted EBITDA should not be construed as an inference that our future results will be unaffected by unusual or non-recurring items.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table below presents Adjusted EBITDA, reconciled to net loss for the periods indicated:</w:t>
      </w:r>
    </w:p>
    <w:tbl>
      <w:tblPr>
        <w:tblW w:w="8353" w:type="dxa"/>
        <w:jc w:val="left"/>
        <w:tblInd w:w="0" w:type="dxa"/>
        <w:tblLayout w:type="fixed"/>
        <w:tblCellMar>
          <w:top w:w="28" w:type="dxa"/>
          <w:left w:w="28" w:type="dxa"/>
          <w:bottom w:w="28" w:type="dxa"/>
          <w:right w:w="28" w:type="dxa"/>
        </w:tblCellMar>
      </w:tblPr>
      <w:tblGrid>
        <w:gridCol w:w="3816"/>
        <w:gridCol w:w="346"/>
        <w:gridCol w:w="211"/>
        <w:gridCol w:w="841"/>
        <w:gridCol w:w="166"/>
        <w:gridCol w:w="146"/>
        <w:gridCol w:w="211"/>
        <w:gridCol w:w="841"/>
        <w:gridCol w:w="166"/>
        <w:gridCol w:w="146"/>
        <w:gridCol w:w="211"/>
        <w:gridCol w:w="841"/>
        <w:gridCol w:w="411"/>
      </w:tblGrid>
      <w:tr>
        <w:trPr/>
        <w:tc>
          <w:tcPr>
            <w:tcW w:w="38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SciTec acquisition income tax benefit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disposal of fixed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One-time costs related to the IPO</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(198,636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(123,942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color w:val="000000"/>
          <w:sz w:val="16"/>
        </w:rPr>
      </w:pPr>
      <w:r>
        <w:rPr>
          <w:rFonts w:ascii="Times New Roman" w:hAnsi="Times New Roman"/>
          <w:color w:val="000000"/>
          <w:sz w:val="16"/>
        </w:rPr>
        <w:t>(1) Represents costs incurred related to the IPO that do not meet the direct and incremental criteria per SEC Staff Accounting Bulletin Topic 5.A to be netted against the gross proceeds of the offering and that are not expected to recur in the future.</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 Other includes loss on foreign exchange and executive severance.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Free Cash Flow is a non-GAAP financial measure. We define Free Cash Flow as net cash used in operating activities, less purchases of property and equipment. We believe that Free Cash Flow is a meaningful indicator of liquidity that provides information to management and investors about the amount of cash generated from or used in operations, after purchases of property and equipment, that (after any debt service requirements or other non-discretionary expenditures not otherwise deducted from the measure) can be used for strategic initiatives, including continuous investment in our business and strengthening our balance sheet.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Free Cash Flow has limitations as a liquidity measure, and you should not consider it in isolation or as a substitute for analysis of our cash flows as reported under U.S. GAAP. Free Cash Flow may be affected in the near to medium term by the timing of capital investments, fluctuations in our growth and the effect of such fluctuations on working capital and changes in our cash conversion cycle.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a reconciliation of net cash used in operating activities, the most directly comparable financial measure presented in accordance with U.S. GAAP, to Free Cash Flow:</w:t>
      </w:r>
    </w:p>
    <w:tbl>
      <w:tblPr>
        <w:tblW w:w="7363" w:type="dxa"/>
        <w:jc w:val="left"/>
        <w:tblInd w:w="0" w:type="dxa"/>
        <w:tblLayout w:type="fixed"/>
        <w:tblCellMar>
          <w:top w:w="28" w:type="dxa"/>
          <w:left w:w="28" w:type="dxa"/>
          <w:bottom w:w="28" w:type="dxa"/>
          <w:right w:w="28" w:type="dxa"/>
        </w:tblCellMar>
      </w:tblPr>
      <w:tblGrid>
        <w:gridCol w:w="3226"/>
        <w:gridCol w:w="146"/>
        <w:gridCol w:w="211"/>
        <w:gridCol w:w="841"/>
        <w:gridCol w:w="166"/>
        <w:gridCol w:w="146"/>
        <w:gridCol w:w="211"/>
        <w:gridCol w:w="841"/>
        <w:gridCol w:w="166"/>
        <w:gridCol w:w="146"/>
        <w:gridCol w:w="211"/>
        <w:gridCol w:w="84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cash used in operating activities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(170,682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16"/>
        </w:rPr>
      </w:pPr>
      <w:r>
        <w:rPr>
          <w:rFonts w:ascii="Times New Roman" w:hAnsi="Times New Roman"/>
          <w:color w:val="000000"/>
          <w:sz w:val="16"/>
        </w:rPr>
        <w:t>(1) Includes $24.5 million of cash payments related to our acquisition of SciTec during the year ended December 31, 2025 that are not expected to recur in the future.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Non-GAAP financial measures have important limitations as analytical tools and you should not consider non-GAAP financial measures in isolation or as a substitute for analyses of our operating results or cash flows as reported under U.S. GAAP. Non-GAAP financial measures may be defined differently by other companies in our industry and may not be comparable to similarly titled measures of other companies, thereby diminishing their utility.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sz w:val="20"/>
        </w:rPr>
      </w:pPr>
      <w:r>
        <w:rPr>
          <w:rFonts w:ascii="Times New Roman" w:hAnsi="Times New Roman"/>
          <w:color w:val="000000"/>
          <w:sz w:val="20"/>
        </w:rPr>
        <w:t>We measure liquidity in terms of our ability to fund the cash requirements of our business operations, including working capital needs, capital expenditures, contractual obligations, debt service, acquisitions, and other commitments</w:t>
      </w:r>
      <w:r>
        <w:rPr>
          <w:rFonts w:ascii="Times New Roman" w:hAnsi="Times New Roman"/>
          <w:color w:val="FF0000"/>
          <w:sz w:val="20"/>
        </w:rPr>
        <w:t xml:space="preserve"> </w:t>
      </w:r>
      <w:r>
        <w:rPr>
          <w:rFonts w:ascii="Times New Roman" w:hAnsi="Times New Roman"/>
          <w:color w:val="000000"/>
          <w:sz w:val="20"/>
        </w:rPr>
        <w:t xml:space="preserve">with cash flows from operations and other sources of funding. Our principal sources of liquidity to date have included amounts raised through issuances of equity capital and borrowings under our financing agreements.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Our expected primary uses of cash on a short and long-term basis are for working capital requirements, capital expenditures, R&amp;D, debt service requirements, and other general corporate purposes. Our primary working capital requirements are for project execution activities including purchases of materials, subcontracted services and payroll, which fluctuate during the year, driven primarily by the timing and extent of activities required on new and existing projects.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August 8, 2025, we completed an IPO of 22.2 million shares of our common stock, including the fully exercised over-allotment option of 2.9 million shares granted to the several underwriters, at a public offering price of $45.00 per share, for an aggregate offering price of $998.6 million. We received net proceeds of $932.5 million, net of $57.4 million of underwriting discounts and commissions and $11.2 million of offering costs.</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2025, our working capital position was in a surplus, in which our current assets exceeded our current liabilities. We often make advanced payments to suppliers for services that have not yet been received that are recorded as current or non-current assets depending on whether they are expected to be settled within a year. Additionally, as of December 31, 2025, our current deferred revenue totaled $116.1 million. This is primarily due to the timing and nature of our deferred revenue where advanced payments and billings in excess of revenues recognized are recorded as deferred revenue and recognized into revenue as we satisfy the underlying performance obligation. Due to the nature of our supplier and customer contracts as well as the timing of payments, we expect to continue to fluctuate between a surplus and a deficit of net working capital.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generate sufficient liquidity from our ongoing operations and capital markets transactions in order to meet our obligations and operating needs will enable us to continue our business operations. If we require additional capital and are unsuccessful in raising that capital, we may not be able to continue our business operations and/or may be unable to advance growth initiatives, either of which could adversely impact our business, financial condition, and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our cash and cash equivalents amounted to $793.0 million, and our financial debt amounted to $288.5 million. Within our financial debt and cash and cash equivalents, $260.0 million relates to the drawdown of the Revolving Credit Facility. We have a limited history of operations and have incurred negative cash flows from operating activities and losses from operations in the past as reflected in the accumulated deficit of $1.0 billion as of December 31, 2025. We believe that our cash will be adequate to meet our liquidity requirements for at least the next 12 months. Our future long-term capital requirements will depend on several factors, including our ability to raise additional capital and, over time, our ability to generate positive cash flows from operations. Further, our liquidity is affected by government budget and spending levels, and if a future prolonged government shutdown occurs, we could be at risk of reduced orders, program cancellations, and other disruptions and nonpayment.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Prior Credit Agreement</w:t>
      </w:r>
    </w:p>
    <w:p>
      <w:pPr>
        <w:pStyle w:val="TextBody"/>
        <w:bidi w:val="0"/>
        <w:spacing w:before="200" w:after="283"/>
        <w:jc w:val="both"/>
        <w:rPr>
          <w:rFonts w:ascii="Times New Roman" w:hAnsi="Times New Roman"/>
          <w:sz w:val="20"/>
        </w:rPr>
      </w:pPr>
      <w:r>
        <w:rPr>
          <w:rFonts w:ascii="Times New Roman" w:hAnsi="Times New Roman"/>
          <w:color w:val="231F20"/>
          <w:sz w:val="20"/>
        </w:rPr>
        <w:t>On July 17, 2023, we entered into a credit agreement (as further amended from time to time, the “ Prior Credit Agreement”) with</w:t>
      </w:r>
      <w:r>
        <w:rPr>
          <w:rFonts w:ascii="Times New Roman" w:hAnsi="Times New Roman"/>
          <w:color w:val="000000"/>
          <w:sz w:val="20"/>
        </w:rPr>
        <w:t xml:space="preserve"> </w:t>
      </w:r>
      <w:r>
        <w:rPr>
          <w:rFonts w:ascii="Times New Roman" w:hAnsi="Times New Roman"/>
          <w:color w:val="231F20"/>
          <w:sz w:val="20"/>
        </w:rPr>
        <w:t>various lenders and U.S. Bank Trust Company, N.A. in its capacity as collateral agent for the lenders. The Prior Credit Agreement provided term loan commitments in the aggregate principal amount of $136.1 million. The Prior Credit Agreement consisted of a term loan commitment of $103.5 million (“Term A Loans”) and a term loan commitment of $32.6 million (“Term B Loans” and, together with the Term A Loans, the “Term Loan Facility”). Borrowings under the Term Loan Facility bore interest at a fixed rate on the unpaid principal amount thereof of 13.875% provided that the fixed rate for Term Loan B Fixed Rate would increase to 19.135% in July 2026. All obligations under the Prior Credit Agreement were guaranteed by us and certain of our subsidiaries of and were secured by substantially all of our assets. The Term Loan Facility was expected to mature on July 17, 2028. The Prior Credit Agreement contained customary mandatory prepayments, customary affirmative covenants and negative covenants, and a minimum cash financial covenant.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obligations under the Prior Credit Agreement (collectively, “Credit Agreement Obligations”) were guaranteed (the “Credit Agreement Guarantees”) by our existing and future direct and indirect material wholly-owned subsidiaries, subject to customary exceptions (in such capacity, the “Credit Agreement Guarantors”). The Credit Agreement Obligations were secured by first priority liens on substantially all assets, subject to customary exceptions, of us and the Credit Agreement Guarantors.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we used a portion of the net proceeds from the IPO to repay all of the borrowings under the Prior Credit Agreement, together with the specified prepayment premium of $11.4 million, and accrued interest.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11 to our consolidated financial statements included elsewhere in this Annual Report on Form 10-K for more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New Credit Agreement</w:t>
      </w:r>
    </w:p>
    <w:p>
      <w:pPr>
        <w:pStyle w:val="TextBody"/>
        <w:bidi w:val="0"/>
        <w:spacing w:before="200" w:after="283"/>
        <w:jc w:val="both"/>
        <w:rPr>
          <w:rFonts w:ascii="Times New Roman" w:hAnsi="Times New Roman"/>
          <w:sz w:val="20"/>
        </w:rPr>
      </w:pPr>
      <w:r>
        <w:rPr>
          <w:rFonts w:ascii="Times New Roman" w:hAnsi="Times New Roman"/>
          <w:color w:val="000000"/>
          <w:sz w:val="20"/>
        </w:rPr>
        <w:t>On August 8, 2025</w:t>
      </w:r>
      <w:r>
        <w:rPr>
          <w:rFonts w:ascii="Times New Roman" w:hAnsi="Times New Roman"/>
          <w:color w:val="231F20"/>
          <w:sz w:val="20"/>
        </w:rPr>
        <w:t>,</w:t>
      </w:r>
      <w:r>
        <w:rPr>
          <w:rFonts w:ascii="Times New Roman" w:hAnsi="Times New Roman"/>
          <w:color w:val="000000"/>
          <w:sz w:val="20"/>
        </w:rPr>
        <w:t xml:space="preserve"> we entered into a new revolving credit agreement (the “New Credit Agreement”) providing for a senior secured revolving credit facility (the “Revolving Credit Facility”) in the aggregate principal amount of $125.0 million, including a sublimit for the issuance of letters of credit in an amount up to $15.0 million and a sublimit for swingline loans in an amount up to $7.5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matures on August 8, 2028. The loans under the Revolving Credit Facility bear interest at a variable rate per annum equal to, at our option, either (a) term SOFR plus a 3.00% spread or (b) an alternative base rate (as set forth in the New Credit Agreement) plus a 2.00% spread. A commitment fee of 0.375% per annum is applied on the unused commitments under the Revolving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is guaranteed by certain of our wholly-owned domestic subsidiaries and secured by substantially all of our assets and the assets of certain of our subsidiaries, in each case, subject to customary exceptions.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contains customary affirmative and negative covenants, including limitations on our ability and certain of our subsidiaries’ abilities, to (i) incur additional debt; (ii) create liens; (iii) make certain investments, loans and advances; (iv) sell assets; (v) pay dividends or make distributions or make other restricted payments; (vi) voluntarily prepay certain other indebtedness; (vii) engage in mergers or consolidations; (viii) change the business we and certain of our subsidiaries conduct; (ix) engage in certain transactions with affiliates; (x) enter into agreements that restrict dividends from subsidiaries; and (xi) amend certain charter documents and material agreements governing subordinated and junior indebtedness.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Revolving Credit Facility requires us to comply with the following financial covenants (subject to certain equity cure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minimum liquidity of $120.0 million, tested as of the last day of each fiscal quarter (commencing with the fiscal quarter ending December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minimum of free cash flow of negative $325.0 million (subject to increasing thresholds) tested as of the last day of each fiscal quarter (commencing with the fiscal quarter ending December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our election, and upon our achieving positive consolidated EBITDA (as calculated under the New Credit Agreement) (a “Leverage Covenant Triggering Event”), the minimum liquidity covenant and the minimum free cash flow covenant will no longer be applicable, and our sole financial covenant following a Leverage Covenant Triggering Event will be maintenance of maximum first lien net leverage ratio not to exceed 4.00:1.00, tested as of the last day of each fiscal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also contains customary events of default, including, among others: (i) failure to pay principal, interest, fees or other amounts under the Revolving Credit Facility when due taking into account any applicable grace period; (ii) any representation or warranty proving to have been incorrect in any material respect when made; (iii) failure to perform or observe covenants or other terms of the Revolving Credit Facility subject to certain grace periods; (iv) a cross default with respect to other material indebtedness; (v) bankruptcy and insolvency events; (vi) a “change of control” and (vii) the invalidity or impairment of any loan document or any security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7, 2025, we amended the New Credit Agreement. The amendment, among other things, increased the commitments under the Revolving Credit Facility by $135.0 million for an aggregate principal amount of $260.0 million. The Revolving Credit Facility will mature on August 8, 2028 and bears interest at a variable rate per annum equal to term SOFR plus a 3.00% spread and the accrued interest is payable in arrears at the end of each month.</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November 10, 2025, in connection with our financing of the SciTec acquisition, we borrowed $260.0 million in aggregate principal amount under our New Credit Agreement.</w:t>
      </w:r>
    </w:p>
    <w:p>
      <w:pPr>
        <w:pStyle w:val="TextBody"/>
        <w:bidi w:val="0"/>
        <w:jc w:val="both"/>
        <w:rPr>
          <w:rFonts w:ascii="Times New Roman" w:hAnsi="Times New Roman"/>
          <w:color w:val="000000"/>
          <w:sz w:val="20"/>
        </w:rPr>
      </w:pPr>
      <w:r>
        <w:rPr>
          <w:rFonts w:ascii="Times New Roman" w:hAnsi="Times New Roman"/>
          <w:color w:val="000000"/>
          <w:sz w:val="20"/>
        </w:rPr>
        <w:t>Borrowings under the Revolving Credit Facility may vary significantly from time to time depending on our cash needs at any given time. As of December 31, 2025, $260.0 million has been drawn under the Revolving Credit Facility. On February 18, 2026, we repaid the entire $260.0 million in aggregate principal amount drawn under the Revolving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Currently, based on our expected future liquidity and anticipated cash requirements, we are evaluating amending the New Credit Agreement to, among other things, increase total debt commitments under the Revolving Credit Facility. If we are not able to amend the New Credit Agreement in the near term, we may decide to explore other forms of financing to pursue strategic opportunities or to optimize our capital structure, and our total liquidity may be reduced until such time as the financing transaction is completed.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Preferred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historically sourced a significant portion of our liquidity through preferred stock issuances. We have had multiple issuances that have raised $925.2 million, net of issuance costs, since inception.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have 0.6 million outstanding warrants exercisable for shares of Series J Preferred Stock. We have reserved 0.6 million shares of common stock for issuance upon the exercise of the Series J Preferred Stock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10, 2025, our Board of Directors declared a dividend (the “Preferred Stock Dividend”) payable in shares of our common stock in respect of all accrued and unpaid dividends on our outstanding shares of Series C, Series D-1, Series D-2, and Series D-3 Preferred Stock held as of July 11, 2025. We paid the Preferred Stock Dividends on July 16, 2025, upon receipt of consents that were required from certain third parties, and issued approximately 3.3 million shares of common stock to the then-existing holders of our Series C, Series D-1, Series D-2, and Series D-3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the closing of our IPO, all outstanding shares of preferred stock were converted into 105.8 million shares of common stock. In addition, in connection with the IPO, all outstanding common warrants were automatically exercised into 1.0 million shares of common stock. In addition, 0.6 million shares of common stock are reserved for issuance upon exercise of Series J Preferred Stock warrants to purchase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our Board of Directors declared a dividend (the “IPO Closing Preferred Stock Dividend”) payable in cash in respect of all unpaid dividends on our outstanding shares of Series C, Series D-1, Series D-2, and Series D-3 Preferred Stock that had accrued following July 11, 2025 through the conversion of such Preferred Stock into shares of common stock on August 8, 2025 in connection with the completion of the IPO. On August 28, 2025, we paid the IPO Closing Preferred Stock Dividend in an aggregate amount of $5.0 million in cash.</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w:t>
      </w:r>
    </w:p>
    <w:tbl>
      <w:tblPr>
        <w:tblW w:w="8920" w:type="dxa"/>
        <w:jc w:val="left"/>
        <w:tblInd w:w="0" w:type="dxa"/>
        <w:tblLayout w:type="fixed"/>
        <w:tblCellMar>
          <w:top w:w="28" w:type="dxa"/>
          <w:left w:w="28" w:type="dxa"/>
          <w:bottom w:w="28" w:type="dxa"/>
          <w:right w:w="28" w:type="dxa"/>
        </w:tblCellMar>
      </w:tblPr>
      <w:tblGrid>
        <w:gridCol w:w="3466"/>
        <w:gridCol w:w="146"/>
        <w:gridCol w:w="211"/>
        <w:gridCol w:w="931"/>
        <w:gridCol w:w="166"/>
        <w:gridCol w:w="146"/>
        <w:gridCol w:w="211"/>
        <w:gridCol w:w="841"/>
        <w:gridCol w:w="166"/>
        <w:gridCol w:w="146"/>
        <w:gridCol w:w="211"/>
        <w:gridCol w:w="931"/>
        <w:gridCol w:w="166"/>
        <w:gridCol w:w="146"/>
        <w:gridCol w:w="103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w:t>
              <w:br/>
              <w:t>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r>
    </w:tbl>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Net cash used in operating activities increased by $47.3 million, or 30%, to $204.9 million for the year ended December 31, 2025 compared to $157.7 million for the year ended December 31, 2024.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year ended December 31, 2025, we received $204.2 million in operating cash inflows from customers, primarily driven by cash received upon the completion of milestones under our contracts. Operating cash outflows were $409.1 million, comprised of payments for labor and contractor costs, purchases of materials used in the manufacturing and development of our products, and general corporate expenses, as well as $24.5 million of cash paid for transaction and integration costs related to our acquisition of SciTec. Depending on the stages of completion of our various projects, our working capital balances will fluctuate throughout the year due to the timing of cash payments and cash receipts.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used in investing activities increased by $368.9 million, or 1,128%, to $401.6 million during the year ended December 31, 2025 compared to $32.7 million during the year ended December 31, 2024.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year ended December 31, 2025, net cash used by investing activities was primarily comprised of the $277.4 million cash consideration (net of cash acquired) paid for the acquisition of SciTec, as well as $100.0 million paid into short-term time deposits as part of our treasury management strategy. We paid $32.8 million for investments in our property and equipment infrastructure during the year.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year ended December 31, 2024, net cash used by investing activities primarily consisted of $32.7 million in purchases of property and equipment.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Net cash provided by financing activities increased by $1.0 billion, or 442%, to $1.3 billion for the year ended December 31, 2025 compared to $232.8 million for the year ended December 31, 2024.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year ended December 31, 2025, net cash provided by financing activities primarily consisted of $927.1 million of net proceeds from the IPO, $232.0 million in net proceeds from the issuance of Preferred Stock, and $255.7 million of net proceeds drawn under the Revolving Credit Facility for the support of the acquisition of SciTec. This was offset by $133.2 million primarily driven by the repayment of the Term Loans.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year ended December 31, 2024, net cash provided by financing activities primarily consisted of $189.0 million of proceeds from the issuance of convertible preferred stock. Additionally, $49.0 million was raised from the issuance of notes payable.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Lease Commitments</w:t>
      </w:r>
    </w:p>
    <w:p>
      <w:pPr>
        <w:pStyle w:val="TextBody"/>
        <w:bidi w:val="0"/>
        <w:jc w:val="both"/>
        <w:rPr>
          <w:rFonts w:ascii="Times New Roman" w:hAnsi="Times New Roman"/>
          <w:color w:val="000000"/>
          <w:sz w:val="20"/>
        </w:rPr>
      </w:pPr>
      <w:r>
        <w:rPr>
          <w:rFonts w:ascii="Times New Roman" w:hAnsi="Times New Roman"/>
          <w:color w:val="000000"/>
          <w:sz w:val="20"/>
        </w:rPr>
        <w:t xml:space="preserve">We lease buildings, launch sites, office facilities, machineries, and computer equipment. These leases are classified as operating or financing leases with various expiration dates through 2042. Our total remaining lease obligations as of December 31, 2025 are $20.1 million, with $2.2 million due in less than one year. See Note 10 to our consolidated financial statements included elsewhere in this Annual Report on Form 10-K for more information regarding our lease commitments.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do not engage in any off-balance sheet activities or have any arrangements or relationships with unconsolidated entities, such as variable interest, special purpose, and structured finance entities.</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consolidated financial statements have been prepared in accordance with U.S. GAAP. Preparation of the financial statements requires our management to make judgments, estimates, and assumptions that impact the reported amount of net sales and expenses, assets and liabilities, and the disclosure of contingent assets and liabilities. We consider an accounting judgment, estimate, or assumption to be critical when the estimate or assumption is complex in nature or requires a high degree of judgment and the use of different judgments, estimates, and assumptions could have a material impact on our consolidated financial statements. We periodically review our estimates and make adjustments when facts and circumstances dictate. To the extent that there are material differences between these estimates and actual results, our financial condition or results of operations will be affected.</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both"/>
        <w:rPr>
          <w:rFonts w:ascii="Times New Roman" w:hAnsi="Times New Roman"/>
          <w:color w:val="000000"/>
          <w:sz w:val="20"/>
        </w:rPr>
      </w:pPr>
      <w:r>
        <w:rPr>
          <w:rFonts w:ascii="Times New Roman" w:hAnsi="Times New Roman"/>
          <w:color w:val="000000"/>
          <w:sz w:val="20"/>
        </w:rPr>
        <w:t>We enter into contracts with our customers to provide launch and spacecraft integration services, engineering services, software development and design, and licenses to intellectual property. Certain of our contracts are structured as firm-fixed-price or cost-plus-award-fee contracts, and some of these contain variable consideration which requires management to estimate the amount of consideration we will ultimately be entitled to receive. Estimates of variable consideration are based on the likelihood of completing a performance obligation or meeting certain award criteria.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revenue over time for performance obligations within these contracts based on total expected revenue, less constrained variable consideration.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the completion of the performance obligation. Estimating the total costs for the completion of a performance obligation requires management to make estimates related to items such as subcontractor performance, material costs and availability, labor costs and productivity, and the costs of overhead. For certain contracts, if estimates of total costs to be incurred on a contract exceed total estimates of revenue to be earned, a provision for the entire loss on the contract is recognized in the period the loss is incurred, based on the excess of management’s estimates of total costs to be incurred over revenue to be earned.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estimates of total costs to be incurred and variable consideration to be earned are highly subjective and dependent on its past experience and operations. Given our limited history of operations, its rapid development and commercialization of new products, as well as its continued focus on improving and refining its manufacturing processes, these estimates are inherently subject to a high degree of estimation uncertainty and may fluctuate significantly from period to period.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 for business combinations using the acquisition method of accounting whereby the identifiable assets and liabilities of the acquired business, are recorded at their estimated fair value as the date that we obtain control of the acquired business. The fair value of the consideration paid is assigned to the underlying net assets of the acquired business based on their respective fair values. Any excess of the purchase price over the estimated fair values of the net assets acquired is recorded to goodwill. Acquisition-related expenses are expensed as incurred.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Several valuation methods may be used to determine the fair value of the assets acquired and liabilities assumed. For intangible assets, we typically use a method that is a form of variation of the income approach, whereby a forecast of future cash flows attributable to the asset are discounted to present value using a risk-adjusted discount rate. Some of the more significant estimates and assumptions inherent in the income approach include the amount and timing of projected future cash flows, the discount rate selected to measure the risks inherent in the future cash flows and the assessment of the asset’s expected useful life. Our estimates of fair value are based upon assumptions believed to be reasonable, but which are inherently uncertain. During the measurement period of up to one year from the acquisition date, based on new information obtained that relates to the facts and circumstances that existed as of the acquisition date, we may record adjustments to the assets acquired and liabilities assumed with corresponding offset to goodwill. We record adjustments identified, if any, subsequent to the end of the measurement period in our consolidated statements of net loss and comprehensive loss.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Warrants</w:t>
      </w:r>
    </w:p>
    <w:p>
      <w:pPr>
        <w:pStyle w:val="TextBody"/>
        <w:bidi w:val="0"/>
        <w:jc w:val="both"/>
        <w:rPr>
          <w:rFonts w:ascii="Times New Roman" w:hAnsi="Times New Roman"/>
          <w:color w:val="000000"/>
          <w:sz w:val="20"/>
        </w:rPr>
      </w:pPr>
      <w:r>
        <w:rPr>
          <w:rFonts w:ascii="Times New Roman" w:hAnsi="Times New Roman"/>
          <w:color w:val="000000"/>
          <w:sz w:val="20"/>
        </w:rPr>
        <w:t xml:space="preserve">Our warrants are liability classified on the consolidated balance sheets and, therefore, are recorded to fair value at each reporting period. Following the IPO, we determined the fair value of the warrant liability based on a Black-Scholes option-pricing valuation model and classifies the warrants as Level 2. The most significant estimate in the Black-Scholes model is the derived volatility due to the short trading history of our shares. Prior to our IPO, the Level 3 significant unobservable inputs used in the fair value measurement of our warrant liability were volatility, term, discount for lack of marketability and probability weighting based on different scenarios including change of control, IPO, and default.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our IPO, all outstanding Common Warrants were automatically exercised into 1.0 million shares of common stock. In addition, 0.6 million shares of common stock are reserved for issuance upon exercise of the outstanding Series J Warrants.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jc w:val="both"/>
        <w:rPr>
          <w:rFonts w:ascii="Times New Roman" w:hAnsi="Times New Roman"/>
          <w:color w:val="000000"/>
          <w:sz w:val="20"/>
        </w:rPr>
      </w:pPr>
      <w:r>
        <w:rPr>
          <w:rFonts w:ascii="Times New Roman" w:hAnsi="Times New Roman"/>
          <w:color w:val="000000"/>
          <w:sz w:val="20"/>
        </w:rPr>
        <w:t>We review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We have not identified any material impairment losses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Using a discounted cash flow method involves significant judgment and requires us to make significant estimates and assumptions, including long-term projections of cash flows, market conditions, and appropriate discount rates. Judgments are based on historical experience, current market trends, consultations with external valuation specialists, and other information. If facts and circumstances change, the use of different estimates and assumptions could result in a materially different outcome. We generally develop these forecasts based on recent sales data for existing services, acquisitions, and estimated future growth of the market in which we operate.</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Recently Issued and Adopted Accounting Standards</w:t>
      </w:r>
    </w:p>
    <w:p>
      <w:pPr>
        <w:pStyle w:val="TextBody"/>
        <w:bidi w:val="0"/>
        <w:jc w:val="both"/>
        <w:rPr>
          <w:rFonts w:ascii="Times New Roman" w:hAnsi="Times New Roman"/>
          <w:color w:val="000000"/>
          <w:sz w:val="20"/>
        </w:rPr>
      </w:pPr>
      <w:r>
        <w:rPr>
          <w:rFonts w:ascii="Times New Roman" w:hAnsi="Times New Roman"/>
          <w:color w:val="000000"/>
          <w:sz w:val="20"/>
        </w:rPr>
        <w:t>Recently issued and newly adopted accounting standards are described in Note 2 to our consolidated financial statements included elsewhere in this Annual Report on Form 10-K.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Emerging Growth Company Accounting Election</w:t>
      </w:r>
    </w:p>
    <w:p>
      <w:pPr>
        <w:pStyle w:val="TextBody"/>
        <w:bidi w:val="0"/>
        <w:spacing w:before="200" w:after="200"/>
        <w:jc w:val="both"/>
        <w:rPr>
          <w:rFonts w:ascii="Times New Roman" w:hAnsi="Times New Roman"/>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and have</w:t>
      </w:r>
      <w:r>
        <w:rPr>
          <w:rFonts w:ascii="Times New Roman" w:hAnsi="Times New Roman"/>
          <w:color w:val="FF0000"/>
          <w:sz w:val="20"/>
        </w:rPr>
        <w:t xml:space="preserve"> </w:t>
      </w:r>
      <w:r>
        <w:rPr>
          <w:rFonts w:ascii="Times New Roman" w:hAnsi="Times New Roman"/>
          <w:color w:val="000000"/>
          <w:sz w:val="20"/>
        </w:rPr>
        <w:t xml:space="preserve">elected to take advantage of the benefits of this extended transition period, which means that when a standard is issued or revised and has different application dates for public or private companies, we, as an emerging growth company, may adopt the new or revised standard at the time private companies are required to adopt the new or revised standard. We will remain an emerging growth company until the earliest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color w:val="000000"/>
          <w:sz w:val="20"/>
        </w:rPr>
        <w:t>of (i) the last day of the</w:t>
      </w:r>
      <w:r>
        <w:rPr>
          <w:rFonts w:ascii="Times New Roman" w:hAnsi="Times New Roman"/>
          <w:color w:val="FF0000"/>
          <w:sz w:val="20"/>
        </w:rPr>
        <w:t xml:space="preserve"> </w:t>
      </w:r>
      <w:r>
        <w:rPr>
          <w:rFonts w:ascii="Times New Roman" w:hAnsi="Times New Roman"/>
          <w:color w:val="000000"/>
          <w:sz w:val="20"/>
        </w:rPr>
        <w:t>fiscal year in which we have total annual gross revenues of $1.235 billion or more; (ii) the last day of our fiscal year following the fifth anniversary of the date of the completion of our IPO; (iii) the date on which we have issued more than $1 billion in nonconvertible debt during the previous three years; or (iv) the date on which we are deemed to be a large accelerated filer under the rules of the SEC, and expect to continue to take advantage of the benefits of the extended transition period. This may make it difficult or impossible to compare our</w:t>
      </w:r>
      <w:r>
        <w:rPr>
          <w:rFonts w:ascii="Times New Roman" w:hAnsi="Times New Roman"/>
          <w:color w:val="FF0000"/>
          <w:sz w:val="20"/>
        </w:rPr>
        <w:t xml:space="preserve"> </w:t>
      </w:r>
      <w:r>
        <w:rPr>
          <w:rFonts w:ascii="Times New Roman" w:hAnsi="Times New Roman"/>
          <w:color w:val="000000"/>
          <w:sz w:val="20"/>
        </w:rPr>
        <w:t>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pStyle w:val="TextBody"/>
        <w:bidi w:val="0"/>
        <w:jc w:val="left"/>
        <w:rPr>
          <w:rFonts w:ascii="Times New Roman" w:hAnsi="Times New Roman"/>
          <w:b/>
          <w:color w:val="000000"/>
          <w:sz w:val="20"/>
        </w:rPr>
      </w:pPr>
      <w:bookmarkStart w:id="14" w:name="item_7a_quantitative_and_qualitative"/>
      <w:bookmarkEnd w:id="14"/>
      <w:r>
        <w:rPr>
          <w:rFonts w:ascii="Times New Roman" w:hAnsi="Times New Roman"/>
          <w:b/>
          <w:color w:val="000000"/>
          <w:sz w:val="20"/>
        </w:rPr>
        <w:t>Item 7A.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market risk for changes in interest rates applicable to our cash and cash equivalents and debt. We have operations within the United States and as such we are exposed to market risks in the ordinary course of our business, including the effects of interest rate changes and credit risk. Information related to quantitative and qualitative disclosure about this market risk is set forth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no longer have any fixed-rate debt outstanding as of December 31, 2025, we are exposed to interest rate risk primarily through our Revolving Credit Facility, pursuant to which we borrowed $260.0 million aggregate principal amount under the New Credit Agreement on November 10, 2025, in connection with our financing of the SciTec acquisition. The loan bears interest at the variable rate per annum equal to term SOFR plus a 3.00% spread and the accrued interest is payable in arrears at the end of each month. As of December 31, 2025, $260.0 million in aggregate borrowings were outstanding under the Revolving Credit Facility.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Credit risk arises primarily from receivables from our customers. Credit risk is managed through ongoing credit evaluations of its customers’ financial condition, taking into account the financial condition, current economic trends, analysis of historical bad debts, and aging of accounts receivable. The maximum exposure to credit risk at the reporting date is primarily from accounts receivable, which amounted to $46.1 million and $1.0 million as of December 31, 2025 and December 31, 2024,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5" w:name="item_8_financial_statements"/>
      <w:bookmarkEnd w:id="15"/>
      <w:r>
        <w:rPr>
          <w:rFonts w:ascii="Times New Roman" w:hAnsi="Times New Roman"/>
          <w:b/>
          <w:color w:val="000000"/>
          <w:sz w:val="20"/>
        </w:rPr>
        <w:t>Item 8. Financial Statements and Supplementary Data.</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 to Consolidated Financial Statements</w:t>
      </w:r>
    </w:p>
    <w:tbl>
      <w:tblPr>
        <w:tblW w:w="7817" w:type="dxa"/>
        <w:jc w:val="left"/>
        <w:tblInd w:w="0" w:type="dxa"/>
        <w:tblLayout w:type="fixed"/>
        <w:tblCellMar>
          <w:top w:w="28" w:type="dxa"/>
          <w:left w:w="28" w:type="dxa"/>
          <w:bottom w:w="28" w:type="dxa"/>
          <w:right w:w="28" w:type="dxa"/>
        </w:tblCellMar>
      </w:tblPr>
      <w:tblGrid>
        <w:gridCol w:w="7456"/>
        <w:gridCol w:w="361"/>
      </w:tblGrid>
      <w:tr>
        <w:trPr/>
        <w:tc>
          <w:tcPr>
            <w:tcW w:w="74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456" w:type="dxa"/>
            <w:tcBorders/>
            <w:shd w:fill="FFFFFF" w:val="clear"/>
            <w:tcMar>
              <w:top w:w="0" w:type="dxa"/>
              <w:left w:w="0" w:type="dxa"/>
              <w:bottom w:w="0" w:type="dxa"/>
              <w:right w:w="0" w:type="dxa"/>
            </w:tcMar>
            <w:vAlign w:val="center"/>
          </w:tcPr>
          <w:p>
            <w:pPr>
              <w:pStyle w:val="TableContents"/>
              <w:bidi w:val="0"/>
              <w:spacing w:before="200" w:after="283"/>
              <w:jc w:val="left"/>
              <w:rPr/>
            </w:pPr>
            <w:hyperlink w:anchor="report_of_independent_registered_public">
              <w:r>
                <w:rPr>
                  <w:rStyle w:val="InternetLink"/>
                  <w:rFonts w:ascii="Times New Roman" w:hAnsi="Times New Roman"/>
                  <w:color w:val="000080"/>
                  <w:sz w:val="20"/>
                  <w:u w:val="single"/>
                </w:rPr>
                <w:t>Report of Independent Registered Public Accounting Firm</w:t>
              </w:r>
            </w:hyperlink>
            <w:r>
              <w:rPr>
                <w:rFonts w:ascii="Times New Roman" w:hAnsi="Times New Roman"/>
                <w:color w:val="0000FF"/>
                <w:sz w:val="20"/>
                <w:u w:val="single"/>
              </w:rPr>
              <w:t xml:space="preserve"> </w:t>
            </w:r>
            <w:r>
              <w:rPr>
                <w:rFonts w:ascii="Times New Roman" w:hAnsi="Times New Roman"/>
                <w:color w:val="0000FF"/>
                <w:sz w:val="20"/>
              </w:rPr>
              <w:t>(PCAOB ID #248)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net_loss_and">
              <w:r>
                <w:rPr>
                  <w:rStyle w:val="InternetLink"/>
                  <w:rFonts w:ascii="Times New Roman" w:hAnsi="Times New Roman"/>
                  <w:color w:val="0000FF"/>
                  <w:sz w:val="20"/>
                  <w:u w:val="single"/>
                </w:rPr>
                <w:t>Consolidated Statements of Net Loss and Comprehensive Loss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nvertible">
              <w:r>
                <w:rPr>
                  <w:rStyle w:val="InternetLink"/>
                  <w:rFonts w:ascii="Times New Roman" w:hAnsi="Times New Roman"/>
                  <w:color w:val="0000FF"/>
                  <w:sz w:val="20"/>
                  <w:u w:val="single"/>
                </w:rPr>
                <w:t>Consolidated Statements of Convertible Preferred Stock and Stockholders' Equity (Deficit)</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the_financial_statements">
              <w:r>
                <w:rPr>
                  <w:rStyle w:val="InternetLink"/>
                  <w:rFonts w:ascii="Times New Roman" w:hAnsi="Times New Roman"/>
                  <w:color w:val="0000FF"/>
                  <w:sz w:val="20"/>
                  <w:u w:val="single"/>
                </w:rPr>
                <w:t>Notes to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00"/>
        <w:jc w:val="center"/>
        <w:rPr>
          <w:rFonts w:ascii="Times New Roman" w:hAnsi="Times New Roman"/>
          <w:b/>
          <w:color w:val="000000"/>
          <w:sz w:val="20"/>
        </w:rPr>
      </w:pPr>
      <w:bookmarkStart w:id="16" w:name="report_of_independent_registered_public"/>
      <w:bookmarkEnd w:id="16"/>
      <w:r>
        <w:rPr>
          <w:rFonts w:ascii="Times New Roman" w:hAnsi="Times New Roman"/>
          <w:b/>
          <w:color w:val="000000"/>
          <w:sz w:val="20"/>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Board of Directors and Shareholders</w:t>
      </w:r>
    </w:p>
    <w:p>
      <w:pPr>
        <w:pStyle w:val="TextBody"/>
        <w:bidi w:val="0"/>
        <w:jc w:val="both"/>
        <w:rPr>
          <w:rFonts w:ascii="Times New Roman" w:hAnsi="Times New Roman"/>
          <w:color w:val="000000"/>
          <w:sz w:val="20"/>
        </w:rPr>
      </w:pPr>
      <w:r>
        <w:rPr>
          <w:rFonts w:ascii="Times New Roman" w:hAnsi="Times New Roman"/>
          <w:color w:val="000000"/>
          <w:sz w:val="20"/>
        </w:rPr>
        <w:t>Firefly Aerospace Inc.</w:t>
      </w:r>
    </w:p>
    <w:p>
      <w:pPr>
        <w:pStyle w:val="TextBody"/>
        <w:bidi w:val="0"/>
        <w:jc w:val="left"/>
        <w:rPr/>
      </w:pPr>
      <w:r>
        <w:rPr/>
        <w:t> </w:t>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audited the accompanying consolidated balance sheets of Firefly Aerospace Inc. (a Delaware corporation) and subsidiaries (the “Company”) as of December 31, 2025 and 2024, the related consolidated statements of net loss and comprehensive loss, convertible preferred stock and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200"/>
        <w:jc w:val="both"/>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 GRANT THORNTON LLP</w:t>
      </w:r>
    </w:p>
    <w:p>
      <w:pPr>
        <w:pStyle w:val="TextBody"/>
        <w:bidi w:val="0"/>
        <w:spacing w:before="0" w:after="284"/>
        <w:jc w:val="both"/>
        <w:rPr>
          <w:rFonts w:ascii="Times New Roman" w:hAnsi="Times New Roman"/>
          <w:color w:val="000000"/>
          <w:sz w:val="20"/>
        </w:rPr>
      </w:pPr>
      <w:r>
        <w:rPr>
          <w:rFonts w:ascii="Times New Roman" w:hAnsi="Times New Roman"/>
          <w:color w:val="000000"/>
          <w:sz w:val="20"/>
        </w:rPr>
        <w:t>We have served as the Company’s auditor since 2022.</w:t>
      </w:r>
    </w:p>
    <w:p>
      <w:pPr>
        <w:pStyle w:val="TextBody"/>
        <w:bidi w:val="0"/>
        <w:jc w:val="left"/>
        <w:rPr>
          <w:rFonts w:ascii="Times New Roman" w:hAnsi="Times New Roman"/>
          <w:color w:val="000000"/>
          <w:sz w:val="20"/>
        </w:rPr>
      </w:pPr>
      <w:r>
        <w:rPr>
          <w:rFonts w:ascii="Times New Roman" w:hAnsi="Times New Roman"/>
          <w:color w:val="000000"/>
          <w:sz w:val="20"/>
        </w:rPr>
        <w:t>Austin, Texas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March 19, 2026</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0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7127"/>
        <w:gridCol w:w="146"/>
        <w:gridCol w:w="196"/>
        <w:gridCol w:w="886"/>
        <w:gridCol w:w="166"/>
        <w:gridCol w:w="146"/>
        <w:gridCol w:w="196"/>
        <w:gridCol w:w="751"/>
        <w:gridCol w:w="591"/>
      </w:tblGrid>
      <w:tr>
        <w:trPr/>
        <w:tc>
          <w:tcPr>
            <w:tcW w:w="7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Advanced payments,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963,175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180,717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Advanced payments,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1,824,934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407,332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temporary equity,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213,581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179,377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less current portion -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634,995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415,372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(See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Temporary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Redeemable convertible preferred stock, $0.0001</w:t>
            </w:r>
            <w:r>
              <w:rPr>
                <w:rFonts w:ascii="Times New Roman" w:hAnsi="Times New Roman"/>
                <w:color w:val="000000"/>
                <w:sz w:val="20"/>
              </w:rPr>
              <w:t> </w:t>
            </w:r>
            <w:r>
              <w:rPr>
                <w:rFonts w:ascii="Times New Roman" w:hAnsi="Times New Roman"/>
                <w:color w:val="000000"/>
                <w:sz w:val="18"/>
              </w:rPr>
              <w:t>par value; 100,000</w:t>
            </w:r>
            <w:r>
              <w:rPr>
                <w:rFonts w:ascii="Times New Roman" w:hAnsi="Times New Roman"/>
                <w:color w:val="000000"/>
                <w:sz w:val="20"/>
              </w:rPr>
              <w:t> </w:t>
            </w:r>
            <w:r>
              <w:rPr>
                <w:rFonts w:ascii="Times New Roman" w:hAnsi="Times New Roman"/>
                <w:color w:val="000000"/>
                <w:sz w:val="18"/>
              </w:rPr>
              <w:t>and 51,033</w:t>
            </w:r>
            <w:r>
              <w:rPr>
                <w:rFonts w:ascii="Times New Roman" w:hAnsi="Times New Roman"/>
                <w:color w:val="000000"/>
                <w:sz w:val="20"/>
              </w:rPr>
              <w:t> </w:t>
            </w:r>
            <w:r>
              <w:rPr>
                <w:rFonts w:ascii="Times New Roman" w:hAnsi="Times New Roman"/>
                <w:color w:val="000000"/>
                <w:sz w:val="18"/>
              </w:rPr>
              <w:t>shares authorized as of December 31, 2025 and December 31, 2024, respectively; 0</w:t>
            </w:r>
            <w:r>
              <w:rPr>
                <w:rFonts w:ascii="Times New Roman" w:hAnsi="Times New Roman"/>
                <w:color w:val="000000"/>
                <w:sz w:val="20"/>
              </w:rPr>
              <w:t> </w:t>
            </w:r>
            <w:r>
              <w:rPr>
                <w:rFonts w:ascii="Times New Roman" w:hAnsi="Times New Roman"/>
                <w:color w:val="000000"/>
                <w:sz w:val="18"/>
              </w:rPr>
              <w:t>and 41,588</w:t>
            </w:r>
            <w:r>
              <w:rPr>
                <w:rFonts w:ascii="Times New Roman" w:hAnsi="Times New Roman"/>
                <w:color w:val="000000"/>
                <w:sz w:val="20"/>
              </w:rPr>
              <w:t> </w:t>
            </w:r>
            <w:r>
              <w:rPr>
                <w:rFonts w:ascii="Times New Roman" w:hAnsi="Times New Roman"/>
                <w:color w:val="000000"/>
                <w:sz w:val="18"/>
              </w:rPr>
              <w:t>shares issued and outstanding as of December 31, 2025 and December 31, 2024, respectively; $0</w:t>
            </w:r>
            <w:r>
              <w:rPr>
                <w:rFonts w:ascii="Times New Roman" w:hAnsi="Times New Roman"/>
                <w:color w:val="000000"/>
                <w:sz w:val="20"/>
              </w:rPr>
              <w:t> </w:t>
            </w:r>
            <w:r>
              <w:rPr>
                <w:rFonts w:ascii="Times New Roman" w:hAnsi="Times New Roman"/>
                <w:color w:val="000000"/>
                <w:sz w:val="18"/>
              </w:rPr>
              <w:t>and $1,227,158</w:t>
            </w:r>
            <w:r>
              <w:rPr>
                <w:rFonts w:ascii="Times New Roman" w:hAnsi="Times New Roman"/>
                <w:color w:val="000000"/>
                <w:sz w:val="20"/>
              </w:rPr>
              <w:t> </w:t>
            </w:r>
            <w:r>
              <w:rPr>
                <w:rFonts w:ascii="Times New Roman" w:hAnsi="Times New Roman"/>
                <w:color w:val="000000"/>
                <w:sz w:val="18"/>
              </w:rPr>
              <w:t>liquidation preference 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759,582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1,000,000</w:t>
            </w:r>
            <w:r>
              <w:rPr>
                <w:rFonts w:ascii="Times New Roman" w:hAnsi="Times New Roman"/>
                <w:color w:val="000000"/>
                <w:sz w:val="20"/>
              </w:rPr>
              <w:t> </w:t>
            </w:r>
            <w:r>
              <w:rPr>
                <w:rFonts w:ascii="Times New Roman" w:hAnsi="Times New Roman"/>
                <w:color w:val="000000"/>
                <w:sz w:val="18"/>
              </w:rPr>
              <w:t>and 154,397</w:t>
            </w:r>
            <w:r>
              <w:rPr>
                <w:rFonts w:ascii="Times New Roman" w:hAnsi="Times New Roman"/>
                <w:color w:val="000000"/>
                <w:sz w:val="20"/>
              </w:rPr>
              <w:t> </w:t>
            </w:r>
            <w:r>
              <w:rPr>
                <w:rFonts w:ascii="Times New Roman" w:hAnsi="Times New Roman"/>
                <w:color w:val="000000"/>
                <w:sz w:val="18"/>
              </w:rPr>
              <w:t>shares authorized as of December 31, 2025 and December 31, 2024, respectively; 159,276</w:t>
            </w:r>
            <w:r>
              <w:rPr>
                <w:rFonts w:ascii="Times New Roman" w:hAnsi="Times New Roman"/>
                <w:color w:val="000000"/>
                <w:sz w:val="20"/>
              </w:rPr>
              <w:t> </w:t>
            </w:r>
            <w:r>
              <w:rPr>
                <w:rFonts w:ascii="Times New Roman" w:hAnsi="Times New Roman"/>
                <w:color w:val="000000"/>
                <w:sz w:val="18"/>
              </w:rPr>
              <w:t>and 13,241</w:t>
            </w:r>
            <w:r>
              <w:rPr>
                <w:rFonts w:ascii="Times New Roman" w:hAnsi="Times New Roman"/>
                <w:color w:val="000000"/>
                <w:sz w:val="20"/>
              </w:rPr>
              <w:t> </w:t>
            </w:r>
            <w:r>
              <w:rPr>
                <w:rFonts w:ascii="Times New Roman" w:hAnsi="Times New Roman"/>
                <w:color w:val="000000"/>
                <w:sz w:val="18"/>
              </w:rPr>
              <w:t>shares issued and outstanding 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(767,623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1,189,939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(767,622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temporary equity,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1,824,934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407,332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0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18" w:name="consolidated_statements_of_net_loss_and"/>
      <w:bookmarkEnd w:id="18"/>
      <w:r>
        <w:rPr>
          <w:rFonts w:ascii="Times New Roman" w:hAnsi="Times New Roman"/>
          <w:b/>
          <w:color w:val="000000"/>
          <w:sz w:val="20"/>
        </w:rPr>
        <w:t>Consolidated Statements of Net Loss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left"/>
        <w:rPr/>
      </w:pPr>
      <w:r>
        <w:rPr/>
        <w:t> </w:t>
      </w:r>
    </w:p>
    <w:tbl>
      <w:tblPr>
        <w:tblW w:w="9518" w:type="dxa"/>
        <w:jc w:val="left"/>
        <w:tblInd w:w="0" w:type="dxa"/>
        <w:tblLayout w:type="fixed"/>
        <w:tblCellMar>
          <w:top w:w="28" w:type="dxa"/>
          <w:left w:w="28" w:type="dxa"/>
          <w:bottom w:w="28" w:type="dxa"/>
          <w:right w:w="28" w:type="dxa"/>
        </w:tblCellMar>
      </w:tblPr>
      <w:tblGrid>
        <w:gridCol w:w="5001"/>
        <w:gridCol w:w="146"/>
        <w:gridCol w:w="211"/>
        <w:gridCol w:w="841"/>
        <w:gridCol w:w="166"/>
        <w:gridCol w:w="146"/>
        <w:gridCol w:w="211"/>
        <w:gridCol w:w="841"/>
        <w:gridCol w:w="166"/>
        <w:gridCol w:w="146"/>
        <w:gridCol w:w="211"/>
        <w:gridCol w:w="841"/>
        <w:gridCol w:w="591"/>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disposal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158,475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(131,875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(135,457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(135,457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Accretion of dividends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(156,271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0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19" w:name="consolidated_statements_of_cash_flows"/>
      <w:bookmarkEnd w:id="19"/>
      <w:r>
        <w:rPr>
          <w:rFonts w:ascii="Times New Roman" w:hAnsi="Times New Roman"/>
          <w:b/>
          <w:color w:val="000000"/>
          <w:sz w:val="20"/>
        </w:rPr>
        <w:t>Consolidated Statements of Cash Flows</w:t>
      </w:r>
    </w:p>
    <w:p>
      <w:pPr>
        <w:pStyle w:val="TextBody"/>
        <w:bidi w:val="0"/>
        <w:spacing w:before="0" w:after="200"/>
        <w:jc w:val="center"/>
        <w:rPr>
          <w:rFonts w:ascii="Times New Roman" w:hAnsi="Times New Roman"/>
          <w:b/>
          <w:i/>
          <w:color w:val="000000"/>
          <w:sz w:val="20"/>
        </w:rPr>
      </w:pPr>
      <w:r>
        <w:rPr>
          <w:rFonts w:ascii="Times New Roman" w:hAnsi="Times New Roman"/>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428"/>
        <w:gridCol w:w="246"/>
        <w:gridCol w:w="196"/>
        <w:gridCol w:w="826"/>
        <w:gridCol w:w="166"/>
        <w:gridCol w:w="146"/>
        <w:gridCol w:w="196"/>
        <w:gridCol w:w="751"/>
        <w:gridCol w:w="166"/>
        <w:gridCol w:w="146"/>
        <w:gridCol w:w="196"/>
        <w:gridCol w:w="751"/>
        <w:gridCol w:w="991"/>
      </w:tblGrid>
      <w:tr>
        <w:trPr/>
        <w:tc>
          <w:tcPr>
            <w:tcW w:w="542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(135,457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(Gain) loss on disposal of fixed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 in fair value of warrant liability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Loss on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Non-cash inventory write-off</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receivable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Advanced payments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(39,518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 - related parties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53,243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(204,924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(157,650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(93,434</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time deposits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Acquisition of business, net of acquired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sale of property and equipment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sale of 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(401,558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(69,994</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flows from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Costs associated with initial public offering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Preferred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149,833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Principal payments on finance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notes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101,742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 of initial public offering closing Preferred Stock Dividend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notes payable - related parties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 of notes payable - related parties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notes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mortgage principal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debt issuance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(24,719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debt issuance costs - related parties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repayment of employee note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Revolving Credit Facility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exercise of stock options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cash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1,261,890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232,759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240,731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Net increase in cash and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655,408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42,412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77,303</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and cash equivalents and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Balance,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792,966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95,146</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81,945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current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non-current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 cash and cash equivalents and restricted cash at the end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792,966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95,146</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0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 (continued)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pPr>
      <w:r>
        <w:rPr/>
        <w:t> </w:t>
      </w:r>
    </w:p>
    <w:tbl>
      <w:tblPr>
        <w:tblW w:w="9318" w:type="dxa"/>
        <w:jc w:val="left"/>
        <w:tblInd w:w="0" w:type="dxa"/>
        <w:tblLayout w:type="fixed"/>
        <w:tblCellMar>
          <w:top w:w="28" w:type="dxa"/>
          <w:left w:w="28" w:type="dxa"/>
          <w:bottom w:w="28" w:type="dxa"/>
          <w:right w:w="28" w:type="dxa"/>
        </w:tblCellMar>
      </w:tblPr>
      <w:tblGrid>
        <w:gridCol w:w="5616"/>
        <w:gridCol w:w="246"/>
        <w:gridCol w:w="196"/>
        <w:gridCol w:w="691"/>
        <w:gridCol w:w="146"/>
        <w:gridCol w:w="146"/>
        <w:gridCol w:w="196"/>
        <w:gridCol w:w="601"/>
        <w:gridCol w:w="146"/>
        <w:gridCol w:w="146"/>
        <w:gridCol w:w="196"/>
        <w:gridCol w:w="601"/>
        <w:gridCol w:w="391"/>
      </w:tblGrid>
      <w:tr>
        <w:trPr/>
        <w:tc>
          <w:tcPr>
            <w:tcW w:w="56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additions in 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Capitalized interest (paid-in-kind)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issued for business combination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debt in exchange of software licenses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Acquisition of internal-use software licenses and obligations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 acquired in exchange for 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Right-of-use asset acquired in exchange for finance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Initial fair value of warrants at issuance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acquired through loans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acquired through finance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exercise of Common Warrants into common stock</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Preferred Stock Dividend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Preferred Stock to common stock upon initial public offering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20" w:name="consolidated_statements_of_convertible"/>
      <w:bookmarkEnd w:id="20"/>
      <w:r>
        <w:rPr>
          <w:rFonts w:ascii="Times New Roman" w:hAnsi="Times New Roman"/>
          <w:b/>
          <w:color w:val="000000"/>
          <w:sz w:val="20"/>
        </w:rPr>
        <w:t>Consolidated Statements of Convertible Preferred Stock and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2"/>
        <w:gridCol w:w="146"/>
        <w:gridCol w:w="146"/>
        <w:gridCol w:w="556"/>
        <w:gridCol w:w="151"/>
        <w:gridCol w:w="146"/>
        <w:gridCol w:w="181"/>
        <w:gridCol w:w="631"/>
        <w:gridCol w:w="151"/>
        <w:gridCol w:w="146"/>
        <w:gridCol w:w="146"/>
        <w:gridCol w:w="146"/>
        <w:gridCol w:w="586"/>
        <w:gridCol w:w="146"/>
        <w:gridCol w:w="146"/>
        <w:gridCol w:w="196"/>
        <w:gridCol w:w="375"/>
        <w:gridCol w:w="146"/>
        <w:gridCol w:w="146"/>
        <w:gridCol w:w="181"/>
        <w:gridCol w:w="691"/>
        <w:gridCol w:w="151"/>
        <w:gridCol w:w="146"/>
        <w:gridCol w:w="146"/>
        <w:gridCol w:w="181"/>
        <w:gridCol w:w="736"/>
        <w:gridCol w:w="151"/>
        <w:gridCol w:w="146"/>
        <w:gridCol w:w="187"/>
        <w:gridCol w:w="722"/>
        <w:gridCol w:w="198"/>
      </w:tblGrid>
      <w:tr>
        <w:trPr/>
        <w:tc>
          <w:tcPr>
            <w:tcW w:w="2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Redeemable 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 (Deficit)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354,413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(355,340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(350,702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under equity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1,612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C Preferred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150,833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M Preferred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Accretion of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20,814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(13,689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(20,814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(135,457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(135,457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29,760</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535,864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12,410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(504,486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(504,485</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under equity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831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C Preferred Stock,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D-1 Preferred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166,855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M Preferred Stock,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Accretion of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34,677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(34,677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(231,133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(231,133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41,588</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759,582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13,241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(767,623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(767,622</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under equity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2,805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related to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269,555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269,556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upon settlement of Preferred Stock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(86,124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74,148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86,124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in connection with initial public offering, net of underwriting discounts and commissions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932,131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932,133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17,840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175,116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Series D-4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47,880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Accretion of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35,623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(33,454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(35,623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Cash dividends paid on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Conversion of Redeemable Convertible Preferred Stock to common stock in connection with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(55,354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(937,087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105,832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936,995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937,006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exercise of Common Warrants to common stock in connection with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46,060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(298,340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(298,340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159,276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3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2,210,201</w:t>
            </w:r>
          </w:p>
        </w:tc>
        <w:tc>
          <w:tcPr>
            <w:tcW w:w="1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(1,020,279</w:t>
            </w:r>
          </w:p>
        </w:tc>
        <w:tc>
          <w:tcPr>
            <w:tcW w:w="1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1,189,939</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16"/>
        </w:rPr>
      </w:pPr>
      <w:r>
        <w:rPr>
          <w:rFonts w:ascii="Times New Roman" w:hAnsi="Times New Roman"/>
          <w:color w:val="000000"/>
          <w:sz w:val="16"/>
        </w:rPr>
        <w:t>* Refer to Note 13 for details of the classes of Preferred Stock and movements therein.</w:t>
      </w:r>
    </w:p>
    <w:p>
      <w:pPr>
        <w:pStyle w:val="TextBody"/>
        <w:bidi w:val="0"/>
        <w:spacing w:before="0" w:after="20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b/>
          <w:color w:val="000000"/>
          <w:sz w:val="20"/>
        </w:rPr>
      </w:pPr>
      <w:bookmarkStart w:id="21" w:name="notes_to_the_financial_statements"/>
      <w:bookmarkEnd w:id="21"/>
      <w:r>
        <w:rPr>
          <w:rFonts w:ascii="Times New Roman" w:hAnsi="Times New Roman"/>
          <w:b/>
          <w:color w:val="000000"/>
          <w:sz w:val="20"/>
        </w:rPr>
        <w:t>1. The Company, Initial Public Offering, and Basis of Presentation</w:t>
      </w:r>
    </w:p>
    <w:p>
      <w:pPr>
        <w:pStyle w:val="TextBody"/>
        <w:bidi w:val="0"/>
        <w:jc w:val="both"/>
        <w:rPr>
          <w:rFonts w:ascii="Times New Roman" w:hAnsi="Times New Roman"/>
          <w:color w:val="000000"/>
          <w:sz w:val="20"/>
        </w:rPr>
      </w:pPr>
      <w:r>
        <w:rPr>
          <w:rFonts w:ascii="Times New Roman" w:hAnsi="Times New Roman"/>
          <w:color w:val="000000"/>
          <w:sz w:val="20"/>
        </w:rPr>
        <w:t>Firefly Aerospace Inc., together with its wholly owned subsidiaries (collectively, “Firefly” or the “Company”), is headquartered in Cedar Park, Texas. The Company was incorporated under the laws of the State of Delaware on January 27, 2017, and commenced operations on May 1, 2017.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completed an initial public offering (“IPO”) of shares of its common stock, par value $0.0001 per share. The Company’s common stock trades on the NASDAQ under the ticker “FLY”.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a market-leading space and defense technology company providing comprehensive mission solutions to national security, government and commercial customers with an established track record of mission success. The Company’s mission is to enable responsive and reliable launch, transit, and operations in space for its national security and commercial customers globally. The Company is a leading provider of fully integrated launch and space services technology, committed to enabling launch, transit and operations in space through responsive, reliable and affordable solutions – anywhere, anytime. The Company’s vertically integrated approach encompasses the design, manufacturing and operation of small to medium launch vehicles, landers, and spacecraft, allowing it to service the entire lifecycle of government and commercial missions from Low Earth Orbit to the Moon and to deep space. Its purpose-built family of products aligns with the ongoing paradigm shift in government missions and procurement processes, where speed, efficiency, and economics drive customer decision-making. Through its offerings across launch, lander and spacecraft, its vertically integrated product line, and its infrastructure, Firefly serves as a critical provider for commercial and government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Firefly’s formation, it has established itself as a category leader across a diverse range of products and services that takes a comprehensive approach to providing a family of solutions to its customers’ space-based opportunities.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October 31, 2025, the Company completed its acquisition of SciTec Inc. (“SciTec”), a leader in advanced national security technologies. The acquisition advances the Company’s comprehensive space services by adding mission-proven defense software analytics, remote sensing, and multi-phenomenology data expertise. SciTec’s core capabilities – which include missile warning, tracking and defense, intelligence, surveillance and reconnaissance, space domain awareness, and autonomous command and control – supplement Firefly’s launch, lunar, and in-space services. SciTec further adds ground and onboard data processing as well as AI-enabled systems designed for low latency operations to support advanced threat tracking and response across multiple domains.</w:t>
      </w:r>
    </w:p>
    <w:p>
      <w:pPr>
        <w:pStyle w:val="TextBody"/>
        <w:bidi w:val="0"/>
        <w:jc w:val="both"/>
        <w:rPr>
          <w:rFonts w:ascii="Times New Roman" w:hAnsi="Times New Roman"/>
          <w:color w:val="000000"/>
          <w:sz w:val="20"/>
        </w:rPr>
      </w:pPr>
      <w:r>
        <w:rPr>
          <w:rFonts w:ascii="Times New Roman" w:hAnsi="Times New Roman"/>
          <w:color w:val="000000"/>
          <w:sz w:val="20"/>
        </w:rPr>
        <w:t>As an early-stage company with a limited commercial operating history, Firefly is subject to all the risks and expenses associated with a start-up company. The Company must, among other things, respond to competitive developments, attract, retain, and motivate qualified personnel, and support the expense of marketing new products based on innovative technology. The Company expects to transition to operating as a manufacturing company, capable of producing and selling products at scale, as of the date the technological feasibility of the Alpha rocket is confirmed. The Company defines technological feasibility as satisfying three specific conditions: (i) reaching product qualification, (ii) achieving production readiness, and (iii) having successfully deployed a customer’s payload into its specific orbit and final destination. The Company has successfully deployed customer payloads into their specific orbits or destinations as of December 31, 2025. The Company’s executive leadership comprised of at least the Chief Operating Officer and the Chief Technology Officer shall determine at what point the Company’s products have been fully qualified to reach technological feasibility and full-rate production. Until this determination is made, the Company has not recorded any inventory amounts, and all costs incurred are expensed.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consolidated financial statements of the Company have been prepared on a going concern basis, which contemplates the realization of assets and the discharge of liabilities in the normal course of business. From inception, the Company has incurred an accumulated deficit totaling $1.0 billion and $767.6 million as of December 31, 2025 and December 31, 2024, respectively, and has incurred $204.9 million, $157.7 million, and $93.4 million in negative cash flows from operations during the years ended December 31, 2025, 2024, and 2023, respectively. </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During the year ended December 31, 2025 the Company raised $244.7 million, through its Series D-1, Series D-3, and Series D-4 Preferred Stock financings (as further discussed and defined in </w:t>
      </w:r>
      <w:r>
        <w:rPr>
          <w:rFonts w:ascii="Times New Roman" w:hAnsi="Times New Roman"/>
          <w:b/>
          <w:color w:val="000000"/>
          <w:sz w:val="20"/>
        </w:rPr>
        <w:t>Note 13. Stockholders’ Equity (Deficit) and Redeemable Convertible Preferred Stock</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8, 2025, the Company completed its IPO of an aggregate of 22.2 million shares of its common stock, par value $0.0001, which includes the exercise in full by the underwriters of their option to purchase an additional 2.9 million shares of common stock, at a public offering price of $45.00 per share, for an aggregate offering price of $998.6 million. The Company received aggregate proceeds of $932.3 million, net of $57.4 million of underwriting discounts and commissions and $11.4 million of offering costs.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In connection with the closing of the IPO, all outstanding shares of the Company's Preferred Stock were converted into 105.8 million shares of common stock. All outstanding Common Warrants were automatically exercised into 1.0 million shares of common stock and 0.6 million shares of common stock are reserved for issuance upon exercise of the Series J Warrants (each as defined in </w:t>
      </w:r>
      <w:r>
        <w:rPr>
          <w:rFonts w:ascii="Times New Roman" w:hAnsi="Times New Roman"/>
          <w:b/>
          <w:color w:val="000000"/>
          <w:sz w:val="20"/>
        </w:rPr>
        <w:t>Note 9. Fair Value Measurement</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On August 8, 2025, the Company used a portion of the net proceeds from the IPO to repay the Term Loans under the Financing Agreement (each as defined in </w:t>
      </w:r>
      <w:r>
        <w:rPr>
          <w:rFonts w:ascii="Times New Roman" w:hAnsi="Times New Roman"/>
          <w:b/>
          <w:color w:val="000000"/>
          <w:sz w:val="20"/>
        </w:rPr>
        <w:t>Note 11. Notes Payable</w:t>
      </w:r>
      <w:r>
        <w:rPr>
          <w:rFonts w:ascii="Times New Roman" w:hAnsi="Times New Roman"/>
          <w:color w:val="000000"/>
          <w:sz w:val="20"/>
        </w:rPr>
        <w:t xml:space="preserve">), together with the specified prepayment premium of $11.4 million, and accrued interest.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Certain of the Company's previously granted and outstanding stock options included both service-based and performance-based vesting conditions. The performance condition related to these awards was satisfied upon the effectiveness of the IPO, resulting in the recognition of $4.7 million of stock-based compensation expense for the year ended December 31, 2025.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IPO, the Company effected a 1-for-3.2544 reverse stock split of its common stock and a proportionate decrease in the number of its authorized shares. All share and per share information, including share-based compensation, throughout the accompanying consolidated financial statements has been retroactively adjusted to reflect the reverse stock split.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consolidated financial statements have been prepared in accordance with accounting principles generally accepted in the United States of America (“U.S. GAAP”) and include all adjustments necessary for the fair presentation of the Company’s financial position, results of operations, and cash flows for the periods presented. All intercompany balances and transactions have been eliminated.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may differ from these estimates.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Prior Period Reclassifications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immaterial prior period amounts have been reclassified to conform to the current period presentation.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Cash Equivalents, and Short-Term Investments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cash consists of cash on hand. The Company considers all highly liquid investments with remaining maturities at the date of purchase of three months or less to be cash equivalents. Highly liquid investments with original maturities of greater than three months that will mature less than one year from the balance sheet date are classified as short-term investments. The Company maintains its cash in bank deposit accounts which, at times, may exceed federally insured limits. The Company has not experienced any losses in such accounts.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and the Company's cash and cash equivalents consisted of cash deposited in bank accounts, time deposits, and money market accounts and were recorded at face value. The Company's short-term investments consist of time deposits that are recorded at cost, which approximates fair value. As of December 31, 2024 the Company's cash and cash equivalents consisted of cash deposited in bank accounts and money market accounts and were recorded at face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Time deposits typically pay earned interest at the time of maturity or redemption. Interest earned on time deposits is accrued in other current assets. Interest income related to cash equivalents and short-term investments is reported in interest expense, net on the consolidated statements of net loss and comprehensive loss.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Prior to the repayment of the Company's Term Loan (see </w:t>
      </w:r>
      <w:r>
        <w:rPr>
          <w:rFonts w:ascii="Times New Roman" w:hAnsi="Times New Roman"/>
          <w:b/>
          <w:color w:val="000000"/>
          <w:sz w:val="20"/>
        </w:rPr>
        <w:t>Note 11. Notes Payable</w:t>
      </w:r>
      <w:r>
        <w:rPr>
          <w:rFonts w:ascii="Times New Roman" w:hAnsi="Times New Roman"/>
          <w:color w:val="000000"/>
          <w:sz w:val="20"/>
        </w:rPr>
        <w:t>) the Company was required to maintain restricted cash deposits in the collateral accounts comprised of interest reserve accounts and an insurance premium reserve account. These funds are restricted and have been classified as such on the consolidated balance sheets due to the nature of the restriction. The Company had no restricted cash as of December 31, 2025 and $14.1 million as of December 31, 2024.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Customer accounts receivable are reported at the amount management expects to collect on balances outstanding at year-end.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When the Company records customer receivables and contract assets arising from revenue transactions, an allowance is recorded for credit losses for the current expected credit losses inherent in the asset over its expected life. The allowance for credit losses is a valuation account deducted from the amortized cost basis of the assets to present their net carrying value at the amount expected to be collected. Each period, the allowance for credit losses is adjusted through earnings to reflect expected credit losses over the remaining lives of the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estimates expected credit losses based on relevant information about past events, including historical credit loss experience and current conditions, such as the length of time accounts receivable are past due, customer payment histories, any specific customer collection issues identified, current market conditions which may affect customer financial condition, and reasonable and supportable forecasts of future credit losses. When measuring expected credit losses, the Company will pool assets with similar country risk and credit risk characteristics. Changes in the relevant information may significantly affect the estimates of expected credit losses. The Company writes off accounts receivable that has become uncollectible. The Company did not have an allowance for credit losses as of December 31, 2025, and 2024.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Advanced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Advanced payments consist of supplier prepayments made for goods and services that have not yet been received. These payments are recorded as assets on the consolidated balance sheets until the related goods or services are delivered.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Advanced payments are classified as either current or noncurrent assets depending on whether they are expected to be settled within one year. The Company evaluates the terms of each prepayment arrangement to determine the appropriate classification and ensures that all advanced payments are supported by valid contracts or agreements with suppliers.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are stated at cost less accumulated depreciation. Depreciation of property and equipment, except for leasehold improvements, is computed using the straight-line method over the following useful lives of assets:</w:t>
      </w:r>
    </w:p>
    <w:p>
      <w:pPr>
        <w:pStyle w:val="TextBody"/>
        <w:bidi w:val="0"/>
        <w:jc w:val="both"/>
        <w:rPr/>
      </w:pPr>
      <w:r>
        <w:rPr/>
        <w:t> </w:t>
      </w:r>
    </w:p>
    <w:tbl>
      <w:tblPr>
        <w:tblW w:w="6162" w:type="dxa"/>
        <w:jc w:val="left"/>
        <w:tblInd w:w="0" w:type="dxa"/>
        <w:tblLayout w:type="fixed"/>
        <w:tblCellMar>
          <w:top w:w="28" w:type="dxa"/>
          <w:left w:w="28" w:type="dxa"/>
          <w:bottom w:w="28" w:type="dxa"/>
          <w:right w:w="28" w:type="dxa"/>
        </w:tblCellMar>
      </w:tblPr>
      <w:tblGrid>
        <w:gridCol w:w="2366"/>
        <w:gridCol w:w="3796"/>
      </w:tblGrid>
      <w:tr>
        <w:trPr/>
        <w:tc>
          <w:tcPr>
            <w:tcW w:w="236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2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Category</w:t>
            </w:r>
          </w:p>
        </w:tc>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Estimated Useful Lives</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5 years</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Test stands</w:t>
            </w:r>
          </w:p>
        </w:tc>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7 - 10 years</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Buildings</w:t>
            </w:r>
          </w:p>
        </w:tc>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15 years</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fixtures</w:t>
            </w:r>
          </w:p>
        </w:tc>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5 years</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equipment</w:t>
            </w:r>
          </w:p>
        </w:tc>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3 years</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w:t>
            </w:r>
          </w:p>
        </w:tc>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3 years</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w:t>
            </w:r>
          </w:p>
        </w:tc>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5 years</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shorter of the lease term or the useful life</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When assets are retired or otherwise disposed of, the cost and related accumulated depreciation and amortization are removed from the consolidated balance sheets and the resulting gain or loss is reflected in operations in the period realized. Maintenance and repairs are expensed as incurred.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determines whether a contract is or contains a lease at contract inception by evaluating whether substitution rights exist and whether the Company obtains substantially all of the benefits and directs the use of the identified asset. When the Company determined a lease exists, the Company records a right-of-use asset and corresponding lease liability in the consolidated balance sheets. Right-of-use assets represent the Company’s right to use an underlying asset for the lease term. Lease liabilities represent the Company’s obligation to make lease payments arising from the lease. Right-of-use assets are recognized at the commencement date of the lease at the value of the lease liability, adjusted for any prepayments, lease incentives received, and initial direct costs incurred.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Lease liabilities are recognized at the commencement date of the lease based on the present value of remaining lease payments over the lease term. As the discount rate implicit in the lease is not readily determinable in most leases, the Company uses its incremental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borrowing rate based on the information available at the commencement date of the lease in determining the present value of lease payments. Lease terms may include options to extend or terminate the lease when it is reasonably certain that the Company will exercise that option.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does not record lease contracts with a lease term of 12 months or less on its consolidated balance sheets. Fixed lease expenses associated with these short-term contracts are expensed on a straight-line basis over the lease term.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lease expense for operating leases on a straight-line basis over the lease term. The Company has lease agreements with non-lease components that relate to the lease components. The Company accounts for each lease component and any non-lease components associated with that lease component separately with amounts allocated to the lease and non-lease components based on stand-alone prices. For certain equipment leases, the Company accounts for the lease and non-lease components as a single lease.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Some leasing arrangements require variable payments that are dependent on usage, output, or may vary for other reasons, such as insurance and tax payments. These variable lease costs are recognized as incurred over the lease term.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does not include significant restrictions or covenants in lease agreements, and residual value guarantees are generally not included within the Company’s leases (See </w:t>
      </w:r>
      <w:r>
        <w:rPr>
          <w:rFonts w:ascii="Times New Roman" w:hAnsi="Times New Roman"/>
          <w:b/>
          <w:color w:val="000000"/>
          <w:sz w:val="20"/>
        </w:rPr>
        <w:t>Note 10. Leases</w:t>
      </w:r>
      <w:r>
        <w:rPr>
          <w:rFonts w:ascii="Times New Roman" w:hAnsi="Times New Roman"/>
          <w:color w:val="000000"/>
          <w:sz w:val="20"/>
        </w:rPr>
        <w:t xml:space="preserve"> for further detail).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Sales and Leaseback</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engages in sale and leaseback transactions, whereby it sells an asset and simultaneously enters into a lease agreement to lease back the same asset. These transactions are accounted for in accordance with Accounting Standards Codification (“ASC”) 842-40, </w:t>
      </w:r>
      <w:r>
        <w:rPr>
          <w:rFonts w:ascii="Times New Roman" w:hAnsi="Times New Roman"/>
          <w:i/>
          <w:color w:val="000000"/>
          <w:sz w:val="20"/>
        </w:rPr>
        <w:t>Leases – Sale and Leaseback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When a sale and leaseback transaction results in a sale, the asset is derecognized from the consolidated balance sheets, and any gain or loss on the sale is recognized in the consolidated statements of net loss and comprehensive loss.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When a transaction results in a failed sale, the transaction is accounted for as a financing. The asset is not derecognized and the Company continues to record depreciation expense over the asset’s estimated useful life. Sales proceeds received are recorded as cash and a corresponding financing liability to reflect future lease payments in the consolidated balance sheets.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evaluates each sale and leaseback transaction to determine the appropriate accounting treatment, ensuring compliance with the relevant accounting standards and reflecting the economic substance of the transaction.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Intangible assets consist of purchased intangible assets including developed technology, in-process research and development, customer relationships, backlog, capitalized software and capitalized intellectual property and are amortized over their useful lives using straight-line method of amortization. The Company evaluates the recoverability of intangible assets periodically by considering events or circumstances that may warrant revised estimates of useful lives or that indicate the asset may be impaired.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accounts for noncancelable on-premise internal-use software licenses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 Software licenses are amortized over their license terms.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Goodwill represents the excess of purchase price and related costs over the value assigned to the net tangible and identifiable intangible assets of businesses acquired. Goodwill is reviewed annually as of October 1 of each year (or more frequently if impairment indicators arise) for impairment. To review for impairment, the Company first assesses qualitative factors to determine whether events or circumstances lead to a determination that it is more likely than not that the fair value of a reporting unit is less than its carrying amount.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qualitative assessment of the recoverability of goodwill, whether performed annually or based on specific events or circumstances, considers various macroeconomic, industry-specific and company-specific factors. Those factors include: (i) adverse macroeconomic trends; (ii) adverse industry and market considerations; (ii) increased costs; (iv) current, historical or projected deterioration of the Company's financial performance; (v) Company-specific changes; (vi) events affecting a reporting unit; and (vii) a sustained decrease in the Company's market capitalization below its net book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After assessing the totality of events and circumstances, if determined that it is not more likely than not that the fair value of a reporting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unit is less than its carrying amount, no further assessment is performed. If the Company determines that it is more likely than not that the fair value of a reporting units is less than its carrying amount, the Company will calculate the fair value of that reporting unit and compare the fair value to the reporting unit’s net book value. If the fair value of the reporting unit is greater than its net book value, there is no impairment. Otherwise, a goodwill impairment charge will be recorded for the amount by which the carrying value of the reporting unit exceeds its fair value up to the amount of the goodwill. Determining the fair value of a reporting unit involves the use of significant estimates and assumptions (See further discussion in </w:t>
      </w:r>
      <w:r>
        <w:rPr>
          <w:rFonts w:ascii="Times New Roman" w:hAnsi="Times New Roman"/>
          <w:b/>
          <w:color w:val="000000"/>
          <w:sz w:val="20"/>
        </w:rPr>
        <w:t>Note 8. Goodwill)</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reviews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The Company has not identified any such impairment losses to date.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Notes Payable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Notes payable represent obligations of the Company to pay a specified amount of money at a future date. These obligations may arise from borrowings from financial institutions, private lenders, or other entities and are classified as either current or non-current liabilities based on their maturity 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recognizes notes payable on an amortized cost basis at their principal amount, net of the unamortized debt issuance costs unless the fair value option is elected. The debt issuance cost is amortized over the term of the debt using the effective interest method. Interest payments are made in accordance with the terms of the debt, which may include fixed or variable interest rates.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Warrants to purchase shares of the Company’s common stock and Series J Preferred Stock are classified as liabilities on the consolidated balance sheets and held at fair value, as the warrants are either exercisable into redeemable preferred shares, or contain certain terms that could result in cash settlement as a result of events outside of the Company’s control. The warrants are subject to remeasurement to fair value at each balance sheet date, and any change in fair value is recognized in the consolidated statements of net loss and comprehensive loss. The Company will continue to adjust the liability for changes in fair value until the earlier of the exercise or expiration of the warrants.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According to ASC 820, </w:t>
      </w:r>
      <w:r>
        <w:rPr>
          <w:rFonts w:ascii="Times New Roman" w:hAnsi="Times New Roman"/>
          <w:i/>
          <w:color w:val="000000"/>
          <w:sz w:val="20"/>
        </w:rPr>
        <w:t>Fair Value Measurements</w:t>
      </w:r>
      <w:r>
        <w:rPr>
          <w:rFonts w:ascii="Times New Roman" w:hAnsi="Times New Roman"/>
          <w:color w:val="000000"/>
          <w:sz w:val="20"/>
        </w:rPr>
        <w:t>, fair value is defined as the exchange price that would be received for an asset or paid to transfer a liability (an exit price) in an orderly transaction between market participants at the measurement date. The fair value hierarchy establishes three tiers, which prioritize the inputs used in measuring fair value as follows: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 Observable inputs, such as quoted prices in active markets for identical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 Inputs, other than quoted prices in active markets, that are observable either directly or indirectly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 Unobservable inputs in which there is little or no market data, which require the reporting entity to develop its own assumptions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Entities are permitted to choose to measure certain financial instruments and other items at fair value.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Billings in excess of revenues recognized are recorded as current and non-current deferred revenue in the consolidated balance sheets and recognized into revenue as the Company satisfies the underlying performance obligation. Prior to making this determination, the Company ensures that a valid contract is in place that meets the definition of a contract in accordance with ASC 606-10-25-1 and 2.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results of businesses acquired in a business combination are included in the Company’s consolidated financial statements from the date of the acquisition. The Company uses the acquisition method of accounting for business combinations and recognizes assets acquired and liabilities assumed measured at their fair values on the date acquired. Goodwill is measured as of the acquisition date as the excess of consideration transferred over the net acquisition date fair value of the assets acquired and the liabilities assumed.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Company performs valuations of assets acquired and liabilities assumed and allocates the purchase price to its respective assets and liabilities. Determining the fair value of assets acquired and liabilities assumed requires us to use significant judgment and estimates, including the selection of valuation methodologies, estimates of future revenue, costs and cash flows, discount rates and selection of comparable companies.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ASC 606 provides guidance outlining a single five-step comprehensive revenue model in accounting for revenue from contracts with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accounts for a contract when it has approval and commitment from both parties, the fees, payment terms and rights of the parties regarding the products or services to be transferred are identified, the contract has commercial substance, and collectability of substantially all of the consideration expected to be transferred is probable. The Company applies judgment in determining the customer’s ability and intention to pay for services expected to be transferred, which is based on factors including the customer’s payment history, management’s ability to mitigate exposure to credit risk, and experience selling to similarly situated customers. The contractual term with the Company’s customers is generally for multiple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Performance obligations within a contract are identified based on the products and services promised to be transferred in the contract. When a contract includes more than one promised product or service, the Company must apply judgment to determine whether the promises represent multiple performance obligations or a single, combined performance obligation. This evaluation requires the Company to determine if the promises are both capable of being distinct, where the customer can benefit from the product or service on its own or together with other resources readily available, and are distinct within the context of the contract, where the transfer of products or services is separately identifiable from other promises in the contract. When both criteria are met, each promised product or service is accounted for as a separate performance obligation. In cases where the promises are distinct, the Company is further required to evaluate if the promises are a series of products and services that are substantially the same and have the same pattern of transfer to the customer (referred to as the “series” guidance). When the Company determines that promises meet the series guidance, they are accounted for as a single, combined performance obligation.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transaction price is determined based on the consideration to which the Company will be entitled in exchange for transferring services to the customer for the Company’s contracts and consists of milestone-based fees.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 The Company may constrain a portion of the transaction price based upon its anticipated ability to meet certain contractual requirements.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Contracts that contain multiple performance obligations require an allocation of the transaction price to each performance obligation on a relative basis according to their standalone selling prices. The Company determines standalone selling price based on the price at which the performance obligation is sold separately. If the Company does not have a history of selling a performance obligation, management applies judgment to estimate the standalone selling price, taking into consideration available information, including market conditions, factors considered to set list prices, pricing of similar products, and internal pricing objectives. The corresponding allocated revenues are recognized when or as the performance obligations are satisfied.</w:t>
      </w:r>
    </w:p>
    <w:p>
      <w:pPr>
        <w:pStyle w:val="TextBody"/>
        <w:bidi w:val="0"/>
        <w:spacing w:before="200" w:after="283"/>
        <w:jc w:val="both"/>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 of sales primarily consists of raw materials, employee and contractor compensation, depreciation and amortization and other costs directly attributable to fulfilling the Company's obligations under customer contacts.</w:t>
      </w:r>
    </w:p>
    <w:p>
      <w:pPr>
        <w:pStyle w:val="TextBody"/>
        <w:bidi w:val="0"/>
        <w:spacing w:before="200" w:after="283"/>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reduce risk, the Company's management performs ongoing credit evaluations of its customers' financial condition. The Company has not identified any potential credit losses and therefore does not maintain an allowance in its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and cash equivalents are deposited in demand deposit accounts and highly-qualified money market funds, and at times, such deposits may be in excess of limits federally insured by the Federal Deposit Insurance Corporation up to $250,000. The Company utilizes high quality financial institutions. The Company has not experienced any losses on its deposits of cash and cash equivalents.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Major customers are defined as those individually comprising more than 10% of the Company’s total revenue. The Company’s revenue related to its major customers was as follows:</w:t>
      </w:r>
    </w:p>
    <w:p>
      <w:pPr>
        <w:pStyle w:val="TextBody"/>
        <w:bidi w:val="0"/>
        <w:jc w:val="both"/>
        <w:rPr/>
      </w:pPr>
      <w:r>
        <w:rPr/>
        <w:t> </w:t>
      </w:r>
    </w:p>
    <w:tbl>
      <w:tblPr>
        <w:tblW w:w="4679" w:type="dxa"/>
        <w:jc w:val="left"/>
        <w:tblInd w:w="0" w:type="dxa"/>
        <w:tblLayout w:type="fixed"/>
        <w:tblCellMar>
          <w:top w:w="28" w:type="dxa"/>
          <w:left w:w="28" w:type="dxa"/>
          <w:bottom w:w="28" w:type="dxa"/>
          <w:right w:w="28" w:type="dxa"/>
        </w:tblCellMar>
      </w:tblPr>
      <w:tblGrid>
        <w:gridCol w:w="1151"/>
        <w:gridCol w:w="146"/>
        <w:gridCol w:w="162"/>
        <w:gridCol w:w="518"/>
        <w:gridCol w:w="301"/>
        <w:gridCol w:w="162"/>
        <w:gridCol w:w="162"/>
        <w:gridCol w:w="518"/>
        <w:gridCol w:w="301"/>
        <w:gridCol w:w="162"/>
        <w:gridCol w:w="162"/>
        <w:gridCol w:w="518"/>
        <w:gridCol w:w="41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Company’s customers that accounted for 10% or more of the total accounts receivable, were as follows:</w:t>
      </w:r>
    </w:p>
    <w:tbl>
      <w:tblPr>
        <w:tblW w:w="3143" w:type="dxa"/>
        <w:jc w:val="left"/>
        <w:tblInd w:w="0" w:type="dxa"/>
        <w:tblLayout w:type="fixed"/>
        <w:tblCellMar>
          <w:top w:w="28" w:type="dxa"/>
          <w:left w:w="28" w:type="dxa"/>
          <w:bottom w:w="28" w:type="dxa"/>
          <w:right w:w="28" w:type="dxa"/>
        </w:tblCellMar>
      </w:tblPr>
      <w:tblGrid>
        <w:gridCol w:w="1151"/>
        <w:gridCol w:w="146"/>
        <w:gridCol w:w="146"/>
        <w:gridCol w:w="466"/>
        <w:gridCol w:w="271"/>
        <w:gridCol w:w="146"/>
        <w:gridCol w:w="156"/>
        <w:gridCol w:w="370"/>
        <w:gridCol w:w="291"/>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costs include employee and contractor compensation, supplies and materials for new product development, professional services, facilities, and regulatory compliance. Research and development costs are charged to operations as incurred.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connection with the closing of the IPO, all outstanding shares of the Company's Preferred Stock were converted into 105.8 million shares of common stock. The redeemable convertible preferred stock represented a legal form of equity, was not mandatorily redeemable, and did not constitute unconditional obligations that may have required issuance of a variable number of the Company’s shares. The redeemable convertible preferred stock was classified as mezzanine (or temporary) equity as it contained terms that could force the Company to redeem the shares for cash or other assets upon the occurrence of an event not solely within the Company’s control. Subsequent remeasurement of the carrying value of the redeemable convertible preferred stock was required for Series C Preferred Stock and Series D Preferred Stock as they were probable of becoming redeemable under the redemption option at the holder’s option based on solely passage of time. The Company accretes the redeemable convertible preferred stock to its redemption value and recognized the changes in the redemption value immediately as they occurred and adjusted the carrying value to equal the current maximum redemption value at the end of each reporting period. No subsequent remeasurement of the other series of the Company’s redeemable convertible preferred stock were required as they were neither currently redeemable nor probable of becoming redeemable.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follows the fair value provisions of ASC 718, </w:t>
      </w:r>
      <w:r>
        <w:rPr>
          <w:rFonts w:ascii="Times New Roman" w:hAnsi="Times New Roman"/>
          <w:i/>
          <w:color w:val="000000"/>
          <w:sz w:val="20"/>
        </w:rPr>
        <w:t>Compensation — Stock Compensation</w:t>
      </w:r>
      <w:r>
        <w:rPr>
          <w:rFonts w:ascii="Times New Roman" w:hAnsi="Times New Roman"/>
          <w:color w:val="000000"/>
          <w:sz w:val="20"/>
        </w:rPr>
        <w:t xml:space="preserve">, which requires the measurement and recognition of compensation expense for all stock-based payment awards, including stock options and restricted stock units (“RSUs”), using a fair value-based method. The fair value of stock options is estimated at the time of grant using a Black-Scholes model, and the fair value of RSUs is based on the closing price of the Company’s common stock on the date of grant. Compensation cost for service-based awards with graded vesting is recognized on a straight-line basis over the requisite service period. Employee stock-based compensation expense recognized during the years ended December 31, 2025, 2024, and 2023 was reduced for forfeitures as they occurred. Any compensation expense previously recognized on unvested awards was reversed when they were forfeited.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accounts for income taxes in accordance with ASC 740, </w:t>
      </w:r>
      <w:r>
        <w:rPr>
          <w:rFonts w:ascii="Times New Roman" w:hAnsi="Times New Roman"/>
          <w:i/>
          <w:color w:val="000000"/>
          <w:sz w:val="20"/>
        </w:rPr>
        <w:t>Income Taxes</w:t>
      </w:r>
      <w:r>
        <w:rPr>
          <w:rFonts w:ascii="Times New Roman" w:hAnsi="Times New Roman"/>
          <w:color w:val="000000"/>
          <w:sz w:val="20"/>
        </w:rPr>
        <w:t>, which requires the asset and liability approach for financial accounting and reporting of income taxes. Deferred income taxes reflect the recognition of future tax consequences of events that have been recognized in the Company’s consolidated financial statements or tax returns. The carrying value of net deferred tax assets reflects that the Company has been unable to generate sufficient taxable income in certain tax jurisdictions. A valuation allowance is provided to reduce the deferred tax asset to an amount that is more likely than not to be realized. The deferred tax assets are still available for the Company to use in the future to offset taxable income, which would result in the recognition of a tax benefit and a reduction in the Company’s effective tax rate.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Actual operating results and the underlying amount and category of income in future years could render the Company’s current assumptions, judgments and estimates of the realizability of deferred tax assets inaccurate, which could have a material impact on its financial position or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accounts for uncertain tax positions in accordance with ASC 740, which clarifies the accounting for uncertainty in income taxes recognized in an enterprise’s consolidated financial statements. It prescribes a recognition threshold and measurement attribute for the financial statement recognition and measurement of a tax position taken or expected to be taken in a tax return. ASC 740 also provides guidance on derecognition, classification, interest and penalties, accounting in interim periods, disclosure, and transition. Such changes in recognition or measurement might result in the recognition of a tax benefit or an additional charge to the tax provision in the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recognizes interest and penalties related to unrecognized tax benefits within the provision for income taxes line in the accompanying consolidated statement of net loss and comprehensive loss. Accrued interest and penalties are included within the related tax liability line in the consolidated balance sheets.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Chief Operating Decision Maker (“CODM”) is its Chief Executive Officer,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 The Company has determined that it operates in one operating segment and as a result, manages its operations and allocates resources as a single operating segment.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loss per share is calculated as net loss attributable to the Company’s common stockholders divided by the Company’s weighted-average number of basic and diluted shares of common stock outstanding. Potentially dilutive common shares primarily consist of employee stock options, warrants, convertible notes, and restricted and performance unit awards.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Issued Accounting Standards</w:t>
      </w:r>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ASU 2023-06</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In October 2023, the Financial Accounting Standards Board (“FASB”) issued Accounting Standards Update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which incorporates certain SEC disclosure requirements into the FASB Accounting Standards Codification (“ASC”). The amendments in the ASU are expected to clarify or improve disclosure and presentation requirements of a variety of ASC topics, allow investors to more easily compare entities subject to the SEC’s existing disclosures with those entities that were not previously subject to the requirements, and align the requirements in the ASC with the SEC’s regulations. The effective date for each amendment will be the date on which the SEC’s removal of that related disclosure from Regulation or Regulation becomes effective, with early adoption prohibited. The amendments in this ASU should be applied prospectively. The Company does not expect ASU will have a material impact on its consolidated financial statements.</w:t>
      </w:r>
    </w:p>
    <w:p>
      <w:pPr>
        <w:pStyle w:val="TextBody"/>
        <w:bidi w:val="0"/>
        <w:jc w:val="both"/>
        <w:rPr>
          <w:rFonts w:ascii="Times New Roman" w:hAnsi="Times New Roman"/>
          <w:b/>
          <w:i/>
          <w:color w:val="000000"/>
          <w:sz w:val="20"/>
        </w:rPr>
      </w:pPr>
      <w:r>
        <w:rPr>
          <w:rFonts w:ascii="Times New Roman" w:hAnsi="Times New Roman"/>
          <w:b/>
          <w:i/>
          <w:color w:val="000000"/>
          <w:sz w:val="20"/>
        </w:rPr>
        <w:t>ASU 2024-03</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requiring public entities to disclose additional information about specific expense categories in the notes to the financial statements on an interim and annual basis. In January 2025, the FASB issued ASU 2025-01,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which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adopting the ASU.</w:t>
      </w:r>
    </w:p>
    <w:p>
      <w:pPr>
        <w:pStyle w:val="TextBody"/>
        <w:bidi w:val="0"/>
        <w:spacing w:before="200" w:after="283"/>
        <w:jc w:val="both"/>
        <w:rPr>
          <w:rFonts w:ascii="Times New Roman" w:hAnsi="Times New Roman"/>
          <w:sz w:val="20"/>
        </w:rPr>
      </w:pPr>
      <w:r>
        <w:rPr>
          <w:rFonts w:ascii="Times New Roman" w:hAnsi="Times New Roman"/>
          <w:b/>
          <w:i/>
          <w:color w:val="000000"/>
          <w:sz w:val="20"/>
        </w:rPr>
        <w:t>ASU 2025-05</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xml:space="preserve">, which provides entities with a practical expedient to simplify the estimation of expected credit losses on current accounts receivable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current contract assets that arise from transactions accounted for under ASC 606, </w:t>
      </w:r>
      <w:r>
        <w:rPr>
          <w:rFonts w:ascii="Times New Roman" w:hAnsi="Times New Roman"/>
          <w:i/>
          <w:color w:val="000000"/>
          <w:sz w:val="20"/>
        </w:rPr>
        <w:t xml:space="preserve">Revenue from Contracts with Customers </w:t>
      </w:r>
      <w:r>
        <w:rPr>
          <w:rFonts w:ascii="Times New Roman" w:hAnsi="Times New Roman"/>
          <w:color w:val="000000"/>
          <w:sz w:val="20"/>
        </w:rPr>
        <w:t>by allowing the assumption that current conditions as of the balance sheet date will not change during the remaining life of the asset. ASU 2025-05 is effective for annual periods beginning after December 15, 2025 and interim periods within those annual reporting periods, with early adoption permitted. The Company does not expect that ASU 2025-05 will have a material impact on its consolidated financial statements.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ASU 2025-06</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to improve the operability and application of guidance related to capitalized software development costs. ASU 2025-06 is effective for fiscal years beginning after December 15, 2027, and interim reporting periods within those annual reporting periods, with early adoption permitted. The guidance may be applied prospectively, retrospectively, or using a modified retrospective basis that is based on the status of the project and whether software costs were capitalized before the date of adoption. The Company intends to early adopt ASU 2025-06 prospectively, effective January 1, 2026. The Company is in the process of evaluating the impact of this guidance on its consolidated financial statements.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ASU 2025-11</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w:t>
      </w:r>
      <w:r>
        <w:rPr>
          <w:rFonts w:ascii="Times New Roman" w:hAnsi="Times New Roman"/>
          <w:color w:val="000000"/>
          <w:sz w:val="20"/>
        </w:rPr>
        <w:t xml:space="preserve">s. ASU 2025-11 clarifies the applicability of ASC 270, </w:t>
      </w:r>
      <w:r>
        <w:rPr>
          <w:rFonts w:ascii="Times New Roman" w:hAnsi="Times New Roman"/>
          <w:i/>
          <w:color w:val="000000"/>
          <w:sz w:val="20"/>
        </w:rPr>
        <w:t>Interim Reporting</w:t>
      </w:r>
      <w:r>
        <w:rPr>
          <w:rFonts w:ascii="Times New Roman" w:hAnsi="Times New Roman"/>
          <w:color w:val="000000"/>
          <w:sz w:val="20"/>
        </w:rPr>
        <w:t xml:space="preserve"> and the form and content of interim financial statements. In addition, ASU 2025-11 requires entities to disclose material events occurring since the last annual reporting period. ASU 2025-11 will be effective for interim periods beginning January 1, 2028, and can be applied on a prospective or retrospective basis. The Company is in the process of evaluating the impact of this guidance on its consolidated financial statements; however, the Company does not expect that it will affect its consolidated financial position, results of operations or cash flows.</w:t>
      </w:r>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jc w:val="both"/>
        <w:rPr>
          <w:rFonts w:ascii="Times New Roman" w:hAnsi="Times New Roman"/>
          <w:b/>
          <w:i/>
          <w:color w:val="000000"/>
          <w:sz w:val="20"/>
        </w:rPr>
      </w:pPr>
      <w:r>
        <w:rPr>
          <w:rFonts w:ascii="Times New Roman" w:hAnsi="Times New Roman"/>
          <w:b/>
          <w:i/>
          <w:color w:val="000000"/>
          <w:sz w:val="20"/>
        </w:rPr>
        <w:t>ASU 2023-09</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to enhance the transparency and decision-usefulness of income tax disclosures, particularly in the rate reconciliation table and disclosures about income taxes paid. The Company adopted ASU 2023-09 prospectively for the year ended December 31,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ASU 2025-10</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 xml:space="preserve">Government Grants (Topic 832), </w:t>
      </w:r>
      <w:r>
        <w:rPr>
          <w:rFonts w:ascii="Times New Roman" w:hAnsi="Times New Roman"/>
          <w:color w:val="000000"/>
          <w:sz w:val="20"/>
        </w:rPr>
        <w:t>to improve U.S. GAAP by establishing authoritative guidance on the accounting for government grants received by business entities</w:t>
      </w:r>
      <w:r>
        <w:rPr>
          <w:rFonts w:ascii="Times New Roman" w:hAnsi="Times New Roman"/>
          <w:i/>
          <w:color w:val="000000"/>
          <w:sz w:val="20"/>
        </w:rPr>
        <w:t>.</w:t>
      </w:r>
      <w:r>
        <w:rPr>
          <w:rFonts w:ascii="Times New Roman" w:hAnsi="Times New Roman"/>
          <w:color w:val="000000"/>
          <w:sz w:val="20"/>
        </w:rPr>
        <w:t xml:space="preserve"> ASU 2025-10 is effective for fiscal years beginning after December 15, 2029, and interim reporting periods within those fiscal years, with early adoption permitted. The Company adopted the new guidance on December 31, 2025 with no material impact on the Company's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 Business Combinations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SciTec</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October 31, 2025, the Company completed the acquisition of all of the outstanding capital stock of SciTec Innovations, LLC, a Delaware limited liability company and the successor entity of SciTec, Inc. (“SciTec”) for a purchase price of $547.0 million, consisting of $277.4 million in cash, net of cash acquired and $269.6 million in common stock. SciTec has over four decades of experience and offers industry-leading AI-enabled defense software applications and big data processing capabilities in the forms of cloud-based, on-premise, and edge processing of high volumes of data from satellites across all orbits that are complementary to Firefly's launch, lunar, and in-space vehicles. This acquisition is expected to complement the Company's full-service hardware and software offerings to space and defense customers. SciTec is based in Princeton, New Jersey and has facilities in Boulder, Colorado, El Segundo, California, Fairborn, Ohio, Huntsville, Alabama, and Herndon, Virginia.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acquisition was accounted for as a business combination under ASC 805, </w:t>
      </w:r>
      <w:r>
        <w:rPr>
          <w:rFonts w:ascii="Times New Roman" w:hAnsi="Times New Roman"/>
          <w:i/>
          <w:color w:val="000000"/>
          <w:sz w:val="20"/>
        </w:rPr>
        <w:t>Business Combinations</w:t>
      </w:r>
      <w:r>
        <w:rPr>
          <w:rFonts w:ascii="Times New Roman" w:hAnsi="Times New Roman"/>
          <w:color w:val="000000"/>
          <w:sz w:val="20"/>
        </w:rPr>
        <w:t xml:space="preserve">, with the Company identified as the acquirer. The purchase price allocation as of the date of acquisition was based on a preliminary valuation and is subject to revision as more detailed analyses are completed and additional information about the fair value of assets acquired and liabilities assumed becomes available during the measurement period, a period not to exceed 12 months from the acquisition date. In connection with the acquisition, the Company incurred acquisition-related costs of $24.4 million, which were expensed as incurred on the date of closing and included in selling, general and administrative expense in the consolidated statements of net loss and comprehensive loss for the year ending December 31, 2025.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table below sets forth the consideration paid, the fair value of the assets acquired, and liabilities assumed at the acquisition date:</w:t>
      </w:r>
    </w:p>
    <w:tbl>
      <w:tblPr>
        <w:tblW w:w="5453" w:type="dxa"/>
        <w:jc w:val="left"/>
        <w:tblInd w:w="0" w:type="dxa"/>
        <w:tblLayout w:type="fixed"/>
        <w:tblCellMar>
          <w:top w:w="28" w:type="dxa"/>
          <w:left w:w="28" w:type="dxa"/>
          <w:bottom w:w="28" w:type="dxa"/>
          <w:right w:w="28" w:type="dxa"/>
        </w:tblCellMar>
      </w:tblPr>
      <w:tblGrid>
        <w:gridCol w:w="3556"/>
        <w:gridCol w:w="146"/>
        <w:gridCol w:w="332"/>
        <w:gridCol w:w="1228"/>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 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(issuance of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269,556</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consideration,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546,973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433,022</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652,160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105,187</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546,973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fair value of the property and equipment, working capital items including accounts receivable, other current assets, accounts payable, accrued expenses, and other current liabilities, approximates their respective carrying values at the date of the acquisition. Operating lease liabilities were remeasured at the present value of the remaining lease payments using the Company's incremental borrowing rate as of the acquisition date. The corresponding right-of-use assets were measured at an amount equal to the remeasured lease liabilities.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fair value of acquired identifiable intangible assets at the date of the acquisition:</w:t>
      </w:r>
    </w:p>
    <w:tbl>
      <w:tblPr>
        <w:tblW w:w="6935" w:type="dxa"/>
        <w:jc w:val="left"/>
        <w:tblInd w:w="0" w:type="dxa"/>
        <w:tblLayout w:type="fixed"/>
        <w:tblCellMar>
          <w:top w:w="28" w:type="dxa"/>
          <w:left w:w="28" w:type="dxa"/>
          <w:bottom w:w="28" w:type="dxa"/>
          <w:right w:w="28" w:type="dxa"/>
        </w:tblCellMar>
      </w:tblPr>
      <w:tblGrid>
        <w:gridCol w:w="2806"/>
        <w:gridCol w:w="146"/>
        <w:gridCol w:w="332"/>
        <w:gridCol w:w="1228"/>
        <w:gridCol w:w="146"/>
        <w:gridCol w:w="146"/>
        <w:gridCol w:w="213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Life</w:t>
            </w:r>
          </w:p>
        </w:tc>
      </w:tr>
      <w:tr>
        <w:trPr/>
        <w:tc>
          <w:tcPr>
            <w:tcW w:w="28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and trademarks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28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w:t>
            </w:r>
            <w:r>
              <w:rPr>
                <w:rFonts w:ascii="Times New Roman" w:hAnsi="Times New Roman"/>
                <w:b/>
                <w:color w:val="000000"/>
                <w:sz w:val="20"/>
              </w:rPr>
              <w:t>years</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the acquisition date, trade name and trademarks, developed technology, and customer relationships are classified as finite-lived intangible assets and are subject to annual impairment assessments under ASC 350-30-35-18 through 35-20.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fair value of the acquired intangible assets, including trade name and trademarks and developed technology was determined </w:t>
      </w:r>
      <w:r>
        <w:rPr>
          <w:rFonts w:ascii="Times New Roman" w:hAnsi="Times New Roman"/>
          <w:color w:val="231F20"/>
          <w:sz w:val="20"/>
        </w:rPr>
        <w:t>using the</w:t>
      </w:r>
      <w:r>
        <w:rPr>
          <w:rFonts w:ascii="Times New Roman" w:hAnsi="Times New Roman"/>
          <w:color w:val="000000"/>
          <w:sz w:val="20"/>
        </w:rPr>
        <w:t xml:space="preserve"> relief from royalty method, while customer relationships were determined using the multi-period excess earnings method. Significant a</w:t>
      </w:r>
      <w:r>
        <w:rPr>
          <w:rFonts w:ascii="Times New Roman" w:hAnsi="Times New Roman"/>
          <w:color w:val="231F20"/>
          <w:sz w:val="20"/>
        </w:rPr>
        <w:t xml:space="preserve">ssumptions used in the determination of the fair values include forecasted revenue growth rates, assumed royalty rates and the market-participant discount rate. </w:t>
      </w:r>
      <w:r>
        <w:rPr>
          <w:rFonts w:ascii="Times New Roman" w:hAnsi="Times New Roman"/>
          <w:color w:val="000000"/>
          <w:sz w:val="20"/>
        </w:rPr>
        <w:t xml:space="preserve">The useful life used in the valuation analysis was based on the economic life of each intangible asset. The Company assessed the economic useful life of these intangibles and concluded that these periods will be used as the amortization periods going forward.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consideration of the nature of the amortization, management has concluded that the most appropriate way to reflect the economic benefits of the pattern in which the benefits are realized is to reflect the amortization in a manner consistent with the cash flow build up by period reflected in the valuation report.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determining the useful lives and amortization policy to apply to the intangible assets acquired, the Company assessed the pattern in which the economic benefits of the assets are consumed. Based on this assessment, the Company amortizes its intangible assets based on the methodology that approximates the pattern in which it expects to benefit economically from these acquired intangible assets. The useful life is also derived from the time period over which the majority of the cash flows are expected to be generated. The Company will employ the useful lives identified through this exercise and amortize amounts using the economic consumption of the intangible asset over the accounting useful life for amortization of the associated intangible asset. </w:t>
      </w:r>
    </w:p>
    <w:p>
      <w:pPr>
        <w:pStyle w:val="TextBody"/>
        <w:bidi w:val="0"/>
        <w:jc w:val="both"/>
        <w:rPr>
          <w:rFonts w:ascii="Times New Roman" w:hAnsi="Times New Roman"/>
          <w:color w:val="000000"/>
          <w:sz w:val="20"/>
        </w:rPr>
      </w:pPr>
      <w:r>
        <w:rPr>
          <w:rFonts w:ascii="Times New Roman" w:hAnsi="Times New Roman"/>
          <w:color w:val="000000"/>
          <w:sz w:val="20"/>
        </w:rPr>
        <w:t>Goodwill generated from this business combination is primarily attributable to expected synergies from the transaction and incremental revenue and profit to be derived from the Company’s expansion into full-service hardware and software for its space and defense customers. The goodwill is not expected to be deductible for U.S. income tax purposes.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net impact of the SciTec acquisition on the Company’s consolidated statements of net loss and comprehensive loss since the date of acquisition:</w:t>
      </w:r>
    </w:p>
    <w:tbl>
      <w:tblPr>
        <w:tblW w:w="7088" w:type="dxa"/>
        <w:jc w:val="left"/>
        <w:tblInd w:w="0" w:type="dxa"/>
        <w:tblLayout w:type="fixed"/>
        <w:tblCellMar>
          <w:top w:w="28" w:type="dxa"/>
          <w:left w:w="28" w:type="dxa"/>
          <w:bottom w:w="28" w:type="dxa"/>
          <w:right w:w="28" w:type="dxa"/>
        </w:tblCellMar>
      </w:tblPr>
      <w:tblGrid>
        <w:gridCol w:w="3316"/>
        <w:gridCol w:w="146"/>
        <w:gridCol w:w="815"/>
        <w:gridCol w:w="2620"/>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and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Spaceflight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8, 2023, the Company completed the acquisition of all of the outstanding capital stock of Spaceflight, Inc., (“Spaceflight”) for total consideration of approximately $9.8 million, comprised of 2.7 million of the Company’s Series M Preferred Stock. To determine the fair value of the equity consideration issued as part of the total purchase consideration for the acquisition, the Company utilized the fair market value of its Series M Preferred Stock, determined with the assistance of a third-party valuation specialist, using an option-pricing methodology. Following the completion of the acquisition, Spaceflight is a consolidated subsidiary of the Company.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acquisition was accounted for as a business combination under ASC 805, </w:t>
      </w:r>
      <w:r>
        <w:rPr>
          <w:rFonts w:ascii="Times New Roman" w:hAnsi="Times New Roman"/>
          <w:i/>
          <w:color w:val="000000"/>
          <w:sz w:val="20"/>
        </w:rPr>
        <w:t>Business Combinations</w:t>
      </w:r>
      <w:r>
        <w:rPr>
          <w:rFonts w:ascii="Times New Roman" w:hAnsi="Times New Roman"/>
          <w:color w:val="000000"/>
          <w:sz w:val="20"/>
        </w:rPr>
        <w:t>, with the Company identified as the acquirer. In accordance with the acquisition method of accounting, the purchase price has been assigned to the assets acquired, and the liabilities assumed, based on their estimated fair value at the acquisition date. In connection with the acquisition, the Company incurred acquisition-related costs of $0.6 million, which were expensed in the consolidated statements of net loss and comprehensive loss for the year ending December 31, 2023.</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has completed the analysis to assign fair values to all of Spaceflight's assets acquired and liabilities assumed and therefore, the purchase price allocation for the acquisition is final.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table below sets forth the consideration paid, and the fair value of the assets acquired, and liabilities assumed at the acquisition 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tbl>
      <w:tblPr>
        <w:tblW w:w="5272" w:type="dxa"/>
        <w:jc w:val="left"/>
        <w:tblInd w:w="0" w:type="dxa"/>
        <w:tblLayout w:type="fixed"/>
        <w:tblCellMar>
          <w:top w:w="28" w:type="dxa"/>
          <w:left w:w="28" w:type="dxa"/>
          <w:bottom w:w="28" w:type="dxa"/>
          <w:right w:w="28" w:type="dxa"/>
        </w:tblCellMar>
      </w:tblPr>
      <w:tblGrid>
        <w:gridCol w:w="1973"/>
        <w:gridCol w:w="1792"/>
        <w:gridCol w:w="146"/>
        <w:gridCol w:w="278"/>
        <w:gridCol w:w="892"/>
        <w:gridCol w:w="191"/>
      </w:tblGrid>
      <w:tr>
        <w:trPr/>
        <w:tc>
          <w:tcPr>
            <w:tcW w:w="197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8,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 paid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(issuance of Series M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project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43,668</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 liability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7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5" w:type="dxa"/>
            <w:gridSpan w:val="2"/>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9,804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of the working capital items, including accounts receivable, inventory, prepaid expenses and other current assets, accounts payable and accrued liabilities, approximates their respective carrying values at the date of the acquisition.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Given the nature of the underlying personal property, the fair value of the property and equipment was determined to be commensurate with their carrying value. No separately identifiable intangible assets were identified in this transaction. The goodwill recognized in the acquisition is primarily attributable to the expected expansion of the Company’s orbital flight services. As a result of the acquisition, the Company does not expect to have any deductible goodwill for tax purposes.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operations of Spaceflight for the period from June 8, 2023 to December 31, 2023 have been included in the results of operations for the year ended December 31, 2023. The post-acquisition revenue of approximately $4.7 million and net loss of $13.1 million attributable to Firefly are included in the consolidated statements of net loss and comprehensive loss for the period from June 8, 2023 to December 31,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Unaudited Pro Forma Information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unaudited pro forma financial information presents the combined results of operations as if SciTec and Spaceflight had been acquired as of the beginning of fiscal year 2023. The unaudited pro forma results include certain adjustments to revenue and net loss directly attributable to each acquisition, including transaction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SciTec acquisition, transaction costs of approximately $29.6 million are assumed to have been incurred on January 1, 2023 and recognized during 2023, of which $24.4 million were incurred by SciTec and $5.2 million were incurred by the Company.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Spaceflight acquisition, transaction costs of approximately $1.0 million are assumed to have occurred on January 1, 2023 and recognized as if incurred during 2023, of which $0.1 million were incurred by Spaceflight and $1.0 million were incurred by the Company.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financial information is presented for informational purposes only and is not necessarily indicative of the consolidated results of operations of the combined businesses had the acquisitions actually occurred at the beginning of the respective periods, nor is it indicative of the future results of operations of the combined businesses.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tbl>
      <w:tblPr>
        <w:tblW w:w="8803" w:type="dxa"/>
        <w:jc w:val="left"/>
        <w:tblInd w:w="0" w:type="dxa"/>
        <w:tblLayout w:type="fixed"/>
        <w:tblCellMar>
          <w:top w:w="28" w:type="dxa"/>
          <w:left w:w="28" w:type="dxa"/>
          <w:bottom w:w="28" w:type="dxa"/>
          <w:right w:w="28" w:type="dxa"/>
        </w:tblCellMar>
      </w:tblPr>
      <w:tblGrid>
        <w:gridCol w:w="4666"/>
        <w:gridCol w:w="146"/>
        <w:gridCol w:w="211"/>
        <w:gridCol w:w="841"/>
        <w:gridCol w:w="166"/>
        <w:gridCol w:w="146"/>
        <w:gridCol w:w="211"/>
        <w:gridCol w:w="841"/>
        <w:gridCol w:w="166"/>
        <w:gridCol w:w="146"/>
        <w:gridCol w:w="211"/>
        <w:gridCol w:w="841"/>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168,115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net loss per common share – basic and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Revenue</w:t>
      </w:r>
    </w:p>
    <w:p>
      <w:pPr>
        <w:pStyle w:val="TextBody"/>
        <w:bidi w:val="0"/>
        <w:spacing w:before="200" w:after="200"/>
        <w:jc w:val="both"/>
        <w:rPr>
          <w:rFonts w:ascii="Times New Roman" w:hAnsi="Times New Roman"/>
          <w:sz w:val="20"/>
        </w:rPr>
      </w:pPr>
      <w:r>
        <w:rPr>
          <w:rFonts w:ascii="Times New Roman" w:hAnsi="Times New Roman"/>
          <w:color w:val="000000"/>
          <w:sz w:val="20"/>
        </w:rPr>
        <w:t>The following table presents revenue disaggregated by type</w:t>
      </w:r>
      <w:r>
        <w:rPr>
          <w:rFonts w:ascii="Times New Roman" w:hAnsi="Times New Roman"/>
          <w:b/>
          <w:color w:val="000000"/>
          <w:sz w:val="20"/>
        </w:rPr>
        <w:t>:</w:t>
      </w:r>
    </w:p>
    <w:tbl>
      <w:tblPr>
        <w:tblW w:w="6463" w:type="dxa"/>
        <w:jc w:val="left"/>
        <w:tblInd w:w="0" w:type="dxa"/>
        <w:tblLayout w:type="fixed"/>
        <w:tblCellMar>
          <w:top w:w="28" w:type="dxa"/>
          <w:left w:w="28" w:type="dxa"/>
          <w:bottom w:w="28" w:type="dxa"/>
          <w:right w:w="28" w:type="dxa"/>
        </w:tblCellMar>
      </w:tblPr>
      <w:tblGrid>
        <w:gridCol w:w="2476"/>
        <w:gridCol w:w="346"/>
        <w:gridCol w:w="211"/>
        <w:gridCol w:w="781"/>
        <w:gridCol w:w="146"/>
        <w:gridCol w:w="146"/>
        <w:gridCol w:w="211"/>
        <w:gridCol w:w="676"/>
        <w:gridCol w:w="146"/>
        <w:gridCol w:w="146"/>
        <w:gridCol w:w="211"/>
        <w:gridCol w:w="676"/>
        <w:gridCol w:w="291"/>
      </w:tblGrid>
      <w:tr>
        <w:trPr/>
        <w:tc>
          <w:tcPr>
            <w:tcW w:w="24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55,235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sz w:val="20"/>
        </w:rPr>
      </w:pPr>
      <w:r>
        <w:rPr>
          <w:rFonts w:ascii="Times New Roman" w:hAnsi="Times New Roman"/>
          <w:b/>
          <w:i/>
          <w:color w:val="000000"/>
          <w:sz w:val="20"/>
        </w:rPr>
        <w:t>Launch Revenue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contracts with commercial and government entities to provide launch and integration services for payloads requiring transportation into orbit via launch vehicles. These contracts may include milestone payments and deposits. The Company considers the performance obligation under these contracts to be the initiation of the launch and recognizes revenue at that point in time. When the contract contains multiple performance obligations, stand-alone selling prices are established for each performance obligation in the contract based on cost plus margin or market prices for similar goods and services.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also enters into contracts with its customers to provide engineering services and related components, and to develop and provide licenses for intellectual property. In these cases, the Company’s performance obligation is satisfied over time since the tasks are performed according to the customer’s specifications, which creates an asset with no alternative use to the Company, for which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 at completion of a performance obligation requires management to make estimates related to items such as subcontractor performance, material costs and availability, labor costs and productivity, and the costs of overhead. If the estimate of total costs to be incurred for a performance obligation exceed the total estimate of revenue to be earned, a provision for the anticipated loss is recognized in the period the loss is identified. Engineering services billed hourly are recognized over time. </w:t>
      </w:r>
    </w:p>
    <w:p>
      <w:pPr>
        <w:pStyle w:val="TextBody"/>
        <w:bidi w:val="0"/>
        <w:spacing w:before="200" w:after="283"/>
        <w:jc w:val="both"/>
        <w:rPr>
          <w:rFonts w:ascii="Times New Roman" w:hAnsi="Times New Roman"/>
          <w:sz w:val="20"/>
        </w:rPr>
      </w:pPr>
      <w:r>
        <w:rPr>
          <w:rFonts w:ascii="Times New Roman" w:hAnsi="Times New Roman"/>
          <w:b/>
          <w:i/>
          <w:color w:val="000000"/>
          <w:sz w:val="20"/>
        </w:rPr>
        <w:t>Spacecraft Solutions Revenue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Spacecraft Solutions revenue includes revenue from contracts with commercial and government entities to provide end-to-end services to integrate payloads into Blue Ghost and Elytra for transport to the Moon and on-orbit space domain awareness missions, respectively, as well as to develop and provide software, sensor, and data processing capabilities for national defense missions. These contracts include firm-fixed-price and cost-plus pricing structures. For commercial payload services we consider the performance obligation to be the integration and delivery of customer payloads to specified destinations. These contracts typically require that the customer make milestone payments as specific conditions and tasks are performed. For software, sensor, and data processing contracts, we consider the performance obligation to be the development and implementation of the contracted solution. These contracts require customers to make milestone payments as specific conditions and tasks are performed, or regular periodic payments as costs are incurred. Performance obligations are satisfied over time since either (1) the tasks are performed according to the customer’s specifications and create an asset with no alternative use to the Company, or (2) the customer receives and consumes benefits as work is completed and the Company has an enforceable right to payment for performance completed to date.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Spacecraft Solutions arrangements,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of total costs to be incurred on a contract exceed total estimates of revenue to be earned, a provision for the entire loss on the contract is recognized in the period the loss is incurred. </w:t>
      </w:r>
    </w:p>
    <w:p>
      <w:pPr>
        <w:pStyle w:val="TextBody"/>
        <w:bidi w:val="0"/>
        <w:jc w:val="both"/>
        <w:rPr>
          <w:rFonts w:ascii="Times New Roman" w:hAnsi="Times New Roman"/>
          <w:color w:val="000000"/>
          <w:sz w:val="20"/>
        </w:rPr>
      </w:pPr>
      <w:r>
        <w:rPr>
          <w:rFonts w:ascii="Times New Roman" w:hAnsi="Times New Roman"/>
          <w:color w:val="000000"/>
          <w:sz w:val="20"/>
        </w:rPr>
        <w:t xml:space="preserve">For all revenue streams, the Company considers customer payments that are contingent on the success of a mission or that are dependent on award criteria to be variable consideration. We assess the likelihood of success of a mission or achievement of contractual award requirements at inception and may defer the recognition of some or all of the variable consideration until success of the mission is assured or the award fee amount is determined.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contracts may provide customers with termination for convenience clauses, which may or may not include termination penalties. In some contracts, the size of the contractual termination penalty increases closer to the scheduled launch date. At the inception of each contract, the Company evaluates the contract’s termination provisions and the impact on the accounting contract term (i.e., the period in which the Company has enforceable rights and obligations). This includes evaluating whether there are termination penalties and if so, whether they are considered substantive. The Company applies judgment in determining whether the termination penalties are substantive.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elected the following practical expedients for Launch and Spacecraft Solutions revenue: (1) the Company does not account for significant financing components if the period between revenue recognition and when the customer pays for the product or service will be one year or less, (2) the Company recognizes revenue equal to the amount it has a right to invoice when the amount corresponds directly with the value to the customer of the Company's performance to date, and (3) the Company does not account for shipping and handling activities as a separate performance obligation, but rather as an activity performed to transfer the promised good or service.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includes in its computation of remaining performance obligations customer orders for which it has accepted signed sales orders. Due to their nature, time and materials contracts contain variable consideration; however, in general, the Company's performance obligations under time and materials contracts qualify for the </w:t>
      </w:r>
      <w:r>
        <w:rPr>
          <w:rFonts w:ascii="Times New Roman" w:hAnsi="Times New Roman"/>
          <w:color w:val="010302"/>
          <w:sz w:val="20"/>
        </w:rPr>
        <w:t>“</w:t>
      </w:r>
      <w:r>
        <w:rPr>
          <w:rFonts w:ascii="Times New Roman" w:hAnsi="Times New Roman"/>
          <w:color w:val="000000"/>
          <w:sz w:val="20"/>
        </w:rPr>
        <w:t>right to invoice” practical expedient. Under this practical expedient, the Company recognizes revenue over time, in the amount to which the Company has a right to invoice. In addition, the Company is not required to estimate such variable consideration upon inception of the contract and reassess the estimate each reporting period. The Company determined that this method best represents the transfer of services, as upon billing the Company has a right to consideration from a customer in an amount that directly corresponds with the value to the customer of the Company's performance completed to date. As of December 31, 2025, the aggregate amount of the transaction price allocated to remaining performance obligations was $684.9 million. The Company expects to recognize approximately 28.5% of its remaining performance obligations as revenue within the next 12 months. The remaining performance obligations are expected to be recognized over the next five years. The remaining performance obligations do not include variable consideration that was determined to be constrained as of December 31,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assets and liabilities reflect timing differences between the receipt of consideration and the fulfillment of performance obligations under a contract with a customer. Contract assets reflect performance obligations satisfied, and revenue recognized in advance of customer billings. Contract liabilities reflect consideration received in advance of the satisfaction of a performance obligation under a contract with a customer. Contract assets become trade receivables once the Company’s rights to consideration become unconditional. Such rights are considered unconditional if only the passage of time is required before payment of that consideration is due. Retainage represents a portion of the contract amount that has been billed, but that the contract allows the customer to retain until final contract settlement. Billings for such retainage balances are generally collected within one year of the completion of the project. Contract costs are those costs directly related to fulfillment of specified customer contracts. Contract assets are recorded within accounts receivable, net or other current assets, depending on whether they represent an unconditional right to consideration, and contract liabilities are recorded within deferred revenue on the consolidated balance sheets.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Contract assets consisted of the following:</w:t>
      </w:r>
    </w:p>
    <w:tbl>
      <w:tblPr>
        <w:tblW w:w="4434" w:type="dxa"/>
        <w:jc w:val="left"/>
        <w:tblInd w:w="0" w:type="dxa"/>
        <w:tblLayout w:type="fixed"/>
        <w:tblCellMar>
          <w:top w:w="28" w:type="dxa"/>
          <w:left w:w="28" w:type="dxa"/>
          <w:bottom w:w="28" w:type="dxa"/>
          <w:right w:w="28" w:type="dxa"/>
        </w:tblCellMar>
      </w:tblPr>
      <w:tblGrid>
        <w:gridCol w:w="2061"/>
        <w:gridCol w:w="346"/>
        <w:gridCol w:w="211"/>
        <w:gridCol w:w="676"/>
        <w:gridCol w:w="146"/>
        <w:gridCol w:w="146"/>
        <w:gridCol w:w="211"/>
        <w:gridCol w:w="346"/>
        <w:gridCol w:w="291"/>
      </w:tblGrid>
      <w:tr>
        <w:trPr/>
        <w:tc>
          <w:tcPr>
            <w:tcW w:w="20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receivables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Retainage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During the year ended December 31, 2025, the Company acquired $13.7 million of contract assets through business combinations.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Deferred revenue consisted of the following:</w:t>
      </w:r>
    </w:p>
    <w:tbl>
      <w:tblPr>
        <w:tblW w:w="5920" w:type="dxa"/>
        <w:jc w:val="left"/>
        <w:tblInd w:w="0" w:type="dxa"/>
        <w:tblLayout w:type="fixed"/>
        <w:tblCellMar>
          <w:top w:w="28" w:type="dxa"/>
          <w:left w:w="28" w:type="dxa"/>
          <w:bottom w:w="28" w:type="dxa"/>
          <w:right w:w="28" w:type="dxa"/>
        </w:tblCellMar>
      </w:tblPr>
      <w:tblGrid>
        <w:gridCol w:w="2271"/>
        <w:gridCol w:w="346"/>
        <w:gridCol w:w="251"/>
        <w:gridCol w:w="931"/>
        <w:gridCol w:w="174"/>
        <w:gridCol w:w="174"/>
        <w:gridCol w:w="251"/>
        <w:gridCol w:w="931"/>
        <w:gridCol w:w="591"/>
      </w:tblGrid>
      <w:tr>
        <w:trPr/>
        <w:tc>
          <w:tcPr>
            <w:tcW w:w="2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deferred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208,700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153,973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years ended December 31, 2025, and December 31, 2024, the Company recognized $77.7 million and $51.9 million, respectively, of revenue that was included in the contract liabilities balance at the beginning of each period. </w:t>
      </w:r>
    </w:p>
    <w:p>
      <w:pPr>
        <w:pStyle w:val="TextBody"/>
        <w:bidi w:val="0"/>
        <w:spacing w:before="200" w:after="283"/>
        <w:jc w:val="both"/>
        <w:rPr>
          <w:rFonts w:ascii="Times New Roman" w:hAnsi="Times New Roman"/>
          <w:sz w:val="20"/>
        </w:rPr>
      </w:pPr>
      <w:r>
        <w:rPr>
          <w:rFonts w:ascii="Times New Roman" w:hAnsi="Times New Roman"/>
          <w:b/>
          <w:i/>
          <w:color w:val="000000"/>
          <w:sz w:val="20"/>
        </w:rPr>
        <w:t>Loss Contracts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a contract loss when the current estimate of the consideration expected to be received is less than the current estimate of total estimated costs to complete the contract. For purposes of determining the existence or amount of a contract loss, the Company considers total contract consideration, including any variable consideration constrained for revenue recognition purposes. The Company may experience favorable or unfavorable changes in contract losses from time to time due to changes in estimated contract costs and modifications that result in changes to contract prices. The Company recorded contract loss provisions related to its Spacecraft Solutions revenue contracts of $8.0 million and $12.7 million during the years ended December 31, 2025 and 2024 respectively. The decrease in the recorded loss provision amount of $4.7 million during the year ended December 31, 2025 is due to continued progress made towards the completion of the contract and changes in estimated contract costs. There were no contract losses recognized during the year ended December 31, 2023.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Property and equipment, net consisted of the following:</w:t>
      </w:r>
    </w:p>
    <w:tbl>
      <w:tblPr>
        <w:tblW w:w="5784" w:type="dxa"/>
        <w:jc w:val="left"/>
        <w:tblInd w:w="0" w:type="dxa"/>
        <w:tblLayout w:type="fixed"/>
        <w:tblCellMar>
          <w:top w:w="28" w:type="dxa"/>
          <w:left w:w="28" w:type="dxa"/>
          <w:bottom w:w="28" w:type="dxa"/>
          <w:right w:w="28" w:type="dxa"/>
        </w:tblCellMar>
      </w:tblPr>
      <w:tblGrid>
        <w:gridCol w:w="2731"/>
        <w:gridCol w:w="346"/>
        <w:gridCol w:w="211"/>
        <w:gridCol w:w="781"/>
        <w:gridCol w:w="166"/>
        <w:gridCol w:w="146"/>
        <w:gridCol w:w="211"/>
        <w:gridCol w:w="781"/>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stands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161,317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135,575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expense was $17.1 million, $12.5 million and $4.7 million for the years ended December 31, 2025, 2024, and 2023, respectively, and was recorded in the consolidated statements of net loss within cost of sales, research and development, and selling, general, and administrative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and 2024, the Company capitalized interest in connection with construction in progress of $1.8 million and $7.4 million,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 Accrued Expenses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Accrued expenses consisted of the following:</w:t>
      </w:r>
    </w:p>
    <w:tbl>
      <w:tblPr>
        <w:tblW w:w="5584" w:type="dxa"/>
        <w:jc w:val="left"/>
        <w:tblInd w:w="0" w:type="dxa"/>
        <w:tblLayout w:type="fixed"/>
        <w:tblCellMar>
          <w:top w:w="28" w:type="dxa"/>
          <w:left w:w="28" w:type="dxa"/>
          <w:bottom w:w="28" w:type="dxa"/>
          <w:right w:w="28" w:type="dxa"/>
        </w:tblCellMar>
      </w:tblPr>
      <w:tblGrid>
        <w:gridCol w:w="2681"/>
        <w:gridCol w:w="446"/>
        <w:gridCol w:w="211"/>
        <w:gridCol w:w="676"/>
        <w:gridCol w:w="146"/>
        <w:gridCol w:w="146"/>
        <w:gridCol w:w="211"/>
        <w:gridCol w:w="676"/>
        <w:gridCol w:w="391"/>
      </w:tblGrid>
      <w:tr>
        <w:trPr/>
        <w:tc>
          <w:tcPr>
            <w:tcW w:w="26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Accrued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Intangible Assets, Net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intangible assets gross carrying amount and accumulated amortization as of December 31, 2025 are detailed below. The Company did not have any intangible assets as of December 31, 2024.</w:t>
      </w:r>
    </w:p>
    <w:tbl>
      <w:tblPr>
        <w:tblW w:w="8263" w:type="dxa"/>
        <w:jc w:val="left"/>
        <w:tblInd w:w="0" w:type="dxa"/>
        <w:tblLayout w:type="fixed"/>
        <w:tblCellMar>
          <w:top w:w="28" w:type="dxa"/>
          <w:left w:w="28" w:type="dxa"/>
          <w:bottom w:w="28" w:type="dxa"/>
          <w:right w:w="28" w:type="dxa"/>
        </w:tblCellMar>
      </w:tblPr>
      <w:tblGrid>
        <w:gridCol w:w="2056"/>
        <w:gridCol w:w="886"/>
        <w:gridCol w:w="146"/>
        <w:gridCol w:w="414"/>
        <w:gridCol w:w="1461"/>
        <w:gridCol w:w="146"/>
        <w:gridCol w:w="146"/>
        <w:gridCol w:w="279"/>
        <w:gridCol w:w="816"/>
        <w:gridCol w:w="166"/>
        <w:gridCol w:w="146"/>
        <w:gridCol w:w="311"/>
        <w:gridCol w:w="1099"/>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w:t>
              <w:b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 and trademarks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72,767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171,484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(5,775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165,709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Amortization expense of the Company's finite-lived intangible assets was $5.8 million for the year ended December 31, 2025. The Company did not recognize any amortization expense during the years ended December 31, 2024 or 2023.</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table below presents the future amortization expense on intangible assets as of December 31, 2025:</w:t>
      </w:r>
    </w:p>
    <w:tbl>
      <w:tblPr>
        <w:tblW w:w="3479" w:type="dxa"/>
        <w:jc w:val="left"/>
        <w:tblInd w:w="0" w:type="dxa"/>
        <w:tblLayout w:type="fixed"/>
        <w:tblCellMar>
          <w:top w:w="28" w:type="dxa"/>
          <w:left w:w="28" w:type="dxa"/>
          <w:bottom w:w="28" w:type="dxa"/>
          <w:right w:w="28" w:type="dxa"/>
        </w:tblCellMar>
      </w:tblPr>
      <w:tblGrid>
        <w:gridCol w:w="2296"/>
        <w:gridCol w:w="211"/>
        <w:gridCol w:w="78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165,709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Following performance of the annual impairment assessment for finite-lived intangible assets, the Company did not identify any events or conditions that make it more likely than not that an impairment may have occurred for the year ended December 31,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Goodwill</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Changes in the carrying amount of goodwill are detailed below: </w:t>
      </w:r>
    </w:p>
    <w:tbl>
      <w:tblPr>
        <w:tblW w:w="5301" w:type="dxa"/>
        <w:jc w:val="left"/>
        <w:tblInd w:w="0" w:type="dxa"/>
        <w:tblLayout w:type="fixed"/>
        <w:tblCellMar>
          <w:top w:w="28" w:type="dxa"/>
          <w:left w:w="28" w:type="dxa"/>
          <w:bottom w:w="28" w:type="dxa"/>
          <w:right w:w="28" w:type="dxa"/>
        </w:tblCellMar>
      </w:tblPr>
      <w:tblGrid>
        <w:gridCol w:w="3826"/>
        <w:gridCol w:w="146"/>
        <w:gridCol w:w="146"/>
        <w:gridCol w:w="211"/>
        <w:gridCol w:w="78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17,097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through business combinations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450,119</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00"/>
        <w:jc w:val="both"/>
        <w:rPr>
          <w:rFonts w:ascii="Times New Roman" w:hAnsi="Times New Roman"/>
          <w:sz w:val="20"/>
        </w:rPr>
      </w:pPr>
      <w:r>
        <w:rPr>
          <w:rFonts w:ascii="Times New Roman" w:hAnsi="Times New Roman"/>
          <w:color w:val="000000"/>
          <w:sz w:val="16"/>
        </w:rPr>
        <w:t xml:space="preserve">(1) refer to </w:t>
      </w:r>
      <w:r>
        <w:rPr>
          <w:rFonts w:ascii="Times New Roman" w:hAnsi="Times New Roman"/>
          <w:b/>
          <w:color w:val="000000"/>
          <w:sz w:val="16"/>
        </w:rPr>
        <w:t>Note 9. Fair Value Measurement</w:t>
      </w:r>
      <w:r>
        <w:rPr>
          <w:rFonts w:ascii="Times New Roman" w:hAnsi="Times New Roman"/>
          <w:color w:val="000000"/>
          <w:sz w:val="20"/>
        </w:rPr>
        <w:t xml:space="preserve"> </w:t>
      </w:r>
      <w:r>
        <w:rPr>
          <w:rFonts w:ascii="Times New Roman" w:hAnsi="Times New Roman"/>
          <w:color w:val="000000"/>
          <w:sz w:val="16"/>
        </w:rPr>
        <w:t>for further detail.</w:t>
      </w:r>
    </w:p>
    <w:p>
      <w:pPr>
        <w:pStyle w:val="TextBody"/>
        <w:bidi w:val="0"/>
        <w:jc w:val="both"/>
        <w:rPr>
          <w:rFonts w:ascii="Times New Roman" w:hAnsi="Times New Roman"/>
          <w:color w:val="000000"/>
          <w:sz w:val="20"/>
        </w:rPr>
      </w:pPr>
      <w:r>
        <w:rPr>
          <w:rFonts w:ascii="Times New Roman" w:hAnsi="Times New Roman"/>
          <w:color w:val="000000"/>
          <w:sz w:val="20"/>
        </w:rPr>
        <w:t xml:space="preserve">Goodwill is defined as an asset representing the future economic benefits arising from other assets acquired in a business combination that are not individually identified and separately recognized. At December 31, 2025, the Company has only one operating segment, which represents its only reportable segment.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completes its annual goodwill impairment assessment at the reporting unit level as of October 1 each year, and determined that no adjustments to the carrying value of goodwill were necessary during the years ended December 31, 2025, 2024, and 2023.</w:t>
      </w:r>
    </w:p>
    <w:p>
      <w:pPr>
        <w:pStyle w:val="TextBody"/>
        <w:bidi w:val="0"/>
        <w:jc w:val="both"/>
        <w:rPr>
          <w:rFonts w:ascii="Times New Roman" w:hAnsi="Times New Roman"/>
          <w:b/>
          <w:color w:val="000000"/>
          <w:sz w:val="20"/>
        </w:rPr>
      </w:pPr>
      <w:r>
        <w:rPr>
          <w:rFonts w:ascii="Times New Roman" w:hAnsi="Times New Roman"/>
          <w:b/>
          <w:color w:val="000000"/>
          <w:sz w:val="20"/>
        </w:rPr>
        <w:t>9.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its financial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on the lowest level of input that is significant to the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uses the market approach to measure fair value for its financial assets and liabilities. The market approach uses prices and other relevant information generated by market transactions involving identical or comparable assets or liabilities.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carrying amounts of Company’s financial instruments, which include cash equivalents, accounts receivable, accounts payable, and certain prepaid expenses, other current assets. accrued liabilities and other current liabilities approximate fair value because of their short-term maturities.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issued warrants to purchase Series J Preferred Stock (the “Series J Warrants”) in connection with the Company’s entrance into the Term Loans and issued warrants to purchase common stock (the “Common Warrants”, together with the “Series J Warrants”, the “Warrants”) and two tranche obligations: (1) the RPM Call Option and (2) the Majority Sponsor Top-Up (both as defined in </w:t>
      </w: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13. Stockholders’ Equity (Deficit) and Redeemable Convertible Preferred Stock</w:t>
      </w:r>
      <w:r>
        <w:rPr>
          <w:rFonts w:ascii="Times New Roman" w:hAnsi="Times New Roman"/>
          <w:color w:val="000000"/>
          <w:sz w:val="20"/>
        </w:rPr>
        <w:t xml:space="preserve">) in connection with the Company’s issuance of the Series D-1 Preferred Stock. The Company determined that the Warrants and tranche obligations should be classified as either liabilities or assets on the consolidated balance sheets depending on valuation and are recorded at fair value both initially and subsequently, with changes in fair value recorded through earnings.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connection with the execution of the Financing Agreement and issuance of the Term Loans, the Company issued to the Lenders (as defined in </w:t>
      </w:r>
      <w:r>
        <w:rPr>
          <w:rFonts w:ascii="Times New Roman" w:hAnsi="Times New Roman"/>
          <w:b/>
          <w:color w:val="000000"/>
          <w:sz w:val="20"/>
        </w:rPr>
        <w:t>Note 11. Notes Payable</w:t>
      </w:r>
      <w:r>
        <w:rPr>
          <w:rFonts w:ascii="Times New Roman" w:hAnsi="Times New Roman"/>
          <w:color w:val="000000"/>
          <w:sz w:val="20"/>
        </w:rPr>
        <w:t>) detachable Series J Warrants to purchase an aggregate of 0.6 million shares of Series J Preferred Stock with a 10-year term and an exercise price of $21.1725 per share (subject to certain adjustments). The Series J Warrants are classified as liabilities as they embody an obligation to repurchase the Company’s equity. The Series J Warrants are measured at fair value both initially and subsequently with changes in fair value recognized through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Warrants were recorded within warrant liability, the RPM Call Option was recorded within other current liabilities, and the Majority Sponsor Top-Up was recorded within other current assets on the consolidated balance sheet as of December 31, 2024. In March 2025, the Majority Sponsor Top-Up expired unexercised when the total amount of Series D-1 Preferred Stock purchased by investors exceeded $250.0 million. On March 24, 2025, the RPM Call Option was terminated via amendment of the Series D stock purchase agreement. As a result, the $0.2 million Majority Sponsor Top-Up and $4.2 million RPM Call Option were derecognized from the consolidated balance sheet, and recognized in other income, net in the consolidated statement of net loss and comprehensive loss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IPO, the Common Warrants were net exercised into 1.0 million shares of common stock. The Series J Warrants remain outstanding and continue to be classified as liabilities and remeasured at fair value as of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the Company’s IPO on August 8, 2025, the Company used a Monte Carlo simulation model and probability weighted valuations based on different scenarios including change of control, IPO and default scenarios to value the Warrants. The value per Warrant under the change of control scenario was the average value per unit under 50,000 Monte Carlo simulations, the value per Warrant under the IPO scenario was based on the number of common stock equivalent shares (including the Warrants) and total estimated equity value of the Company, and the value per Warrant under the default scenario was assumed to be zero.</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used a Black-Scholes option-pricing valuation model to value the Series J Warrants as of December 31, 2025. The following table presents the key inputs applied in the valuation of the Series J Warrants:</w:t>
      </w:r>
    </w:p>
    <w:tbl>
      <w:tblPr>
        <w:tblW w:w="5156" w:type="dxa"/>
        <w:jc w:val="left"/>
        <w:tblInd w:w="0" w:type="dxa"/>
        <w:tblLayout w:type="fixed"/>
        <w:tblCellMar>
          <w:top w:w="28" w:type="dxa"/>
          <w:left w:w="28" w:type="dxa"/>
          <w:bottom w:w="28" w:type="dxa"/>
          <w:right w:w="28" w:type="dxa"/>
        </w:tblCellMar>
      </w:tblPr>
      <w:tblGrid>
        <w:gridCol w:w="3241"/>
        <w:gridCol w:w="352"/>
        <w:gridCol w:w="243"/>
        <w:gridCol w:w="1129"/>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for the Series J Warrants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value (per share)</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19.00-19.06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Series J Warrants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present the key inputs applied in the valuation of the Series J Warrants as of December 31, 2024:</w:t>
      </w:r>
    </w:p>
    <w:tbl>
      <w:tblPr>
        <w:tblW w:w="9444" w:type="dxa"/>
        <w:jc w:val="left"/>
        <w:tblInd w:w="0" w:type="dxa"/>
        <w:tblLayout w:type="fixed"/>
        <w:tblCellMar>
          <w:top w:w="28" w:type="dxa"/>
          <w:left w:w="28" w:type="dxa"/>
          <w:bottom w:w="28" w:type="dxa"/>
          <w:right w:w="28" w:type="dxa"/>
        </w:tblCellMar>
      </w:tblPr>
      <w:tblGrid>
        <w:gridCol w:w="5476"/>
        <w:gridCol w:w="146"/>
        <w:gridCol w:w="298"/>
        <w:gridCol w:w="662"/>
        <w:gridCol w:w="271"/>
        <w:gridCol w:w="146"/>
        <w:gridCol w:w="266"/>
        <w:gridCol w:w="590"/>
        <w:gridCol w:w="271"/>
        <w:gridCol w:w="146"/>
        <w:gridCol w:w="266"/>
        <w:gridCol w:w="590"/>
        <w:gridCol w:w="316"/>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of</w:t>
              <w:br/>
              <w:t>Control</w:t>
              <w:br/>
              <w:t>Scenario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IPO</w:t>
              <w:br/>
              <w:t>Scenario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Default</w:t>
              <w:br/>
              <w:t>Scenario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value per Series J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 weighting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value per Series J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probability weighted-average value per Series J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present the key inputs applied in the valuation of the Common Warrants as of December 31, 2024:</w:t>
      </w:r>
    </w:p>
    <w:tbl>
      <w:tblPr>
        <w:tblW w:w="8814" w:type="dxa"/>
        <w:jc w:val="left"/>
        <w:tblInd w:w="0" w:type="dxa"/>
        <w:tblLayout w:type="fixed"/>
        <w:tblCellMar>
          <w:top w:w="28" w:type="dxa"/>
          <w:left w:w="28" w:type="dxa"/>
          <w:bottom w:w="28" w:type="dxa"/>
          <w:right w:w="28" w:type="dxa"/>
        </w:tblCellMar>
      </w:tblPr>
      <w:tblGrid>
        <w:gridCol w:w="4846"/>
        <w:gridCol w:w="146"/>
        <w:gridCol w:w="298"/>
        <w:gridCol w:w="662"/>
        <w:gridCol w:w="271"/>
        <w:gridCol w:w="146"/>
        <w:gridCol w:w="266"/>
        <w:gridCol w:w="590"/>
        <w:gridCol w:w="271"/>
        <w:gridCol w:w="146"/>
        <w:gridCol w:w="266"/>
        <w:gridCol w:w="590"/>
        <w:gridCol w:w="316"/>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of</w:t>
              <w:br/>
              <w:t>Control</w:t>
              <w:br/>
              <w:t>Scenario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IPO</w:t>
              <w:br/>
              <w:t>Scenario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Default</w:t>
              <w:br/>
              <w:t>Scenario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per Common Warrant on a marketable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for lack of marketability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per Common Warrant on a non-marketable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 weighting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value per Common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probability weighted value per Common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used a Black-Scholes option-pricing valuation model to value the RPM Call Option. The following table presents the key inputs applied in the valuation of the RPM Call Option as of December 31, 2024:</w:t>
      </w:r>
    </w:p>
    <w:tbl>
      <w:tblPr>
        <w:tblW w:w="6223" w:type="dxa"/>
        <w:jc w:val="left"/>
        <w:tblInd w:w="0" w:type="dxa"/>
        <w:tblLayout w:type="fixed"/>
        <w:tblCellMar>
          <w:top w:w="28" w:type="dxa"/>
          <w:left w:w="28" w:type="dxa"/>
          <w:bottom w:w="28" w:type="dxa"/>
          <w:right w:w="28" w:type="dxa"/>
        </w:tblCellMar>
      </w:tblPr>
      <w:tblGrid>
        <w:gridCol w:w="4036"/>
        <w:gridCol w:w="146"/>
        <w:gridCol w:w="465"/>
        <w:gridCol w:w="1260"/>
        <w:gridCol w:w="316"/>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Series D Preferred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for the RPM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RPM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used a forward pricing valuation model to value the Majority Sponsor Top-Up. The following table presents the key inputs applied in the valuations of the Majority Sponsor Top-Up as of December 31, 2024:</w:t>
      </w:r>
    </w:p>
    <w:tbl>
      <w:tblPr>
        <w:tblW w:w="7618" w:type="dxa"/>
        <w:jc w:val="left"/>
        <w:tblInd w:w="0" w:type="dxa"/>
        <w:tblLayout w:type="fixed"/>
        <w:tblCellMar>
          <w:top w:w="28" w:type="dxa"/>
          <w:left w:w="28" w:type="dxa"/>
          <w:bottom w:w="28" w:type="dxa"/>
          <w:right w:w="28" w:type="dxa"/>
        </w:tblCellMar>
      </w:tblPr>
      <w:tblGrid>
        <w:gridCol w:w="5431"/>
        <w:gridCol w:w="146"/>
        <w:gridCol w:w="409"/>
        <w:gridCol w:w="1316"/>
        <w:gridCol w:w="316"/>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subject to the Majority Sponsor Top-Up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purchase price for Series D Preferred Stock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Series D Preferred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factor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forward obligation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units subject to purchase by majority sponsor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Majority Sponsor Top-Up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did not issue any Warrants during the year ended December 31, 2025. The fair value remeasurement of the Series J Warrants resulted in an increase in fair value of $9.4 million during the year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losses of $44.8 million related to the Common Warrants during the year ended December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fair value of the Series J Warrants on December 31, 2025 was $12.3 million.</w:t>
      </w:r>
    </w:p>
    <w:tbl>
      <w:tblPr>
        <w:tblW w:w="7140"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676"/>
        <w:gridCol w:w="146"/>
        <w:gridCol w:w="146"/>
        <w:gridCol w:w="277"/>
        <w:gridCol w:w="458"/>
        <w:gridCol w:w="146"/>
        <w:gridCol w:w="146"/>
        <w:gridCol w:w="211"/>
        <w:gridCol w:w="78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892,974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12,294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During the year ended December 31, 2024, $0.1 million Warrants were issued. The fair value remeasurement of warrant liabilities resulted in an increase in fair value of $0.1 million as of December 31, 2024. No Warrants were exercised during the years ended December 31, 2024.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fair value of the Series J Warrants, Common Warrants, and tranche obligations as of December 31, 2024, was $2.9 million, $1.2 million and $4.0 million, respectively. The carrying value of the Term Loans approximated their estimated fair value as of December 31, 2024.</w:t>
      </w:r>
    </w:p>
    <w:tbl>
      <w:tblPr>
        <w:tblW w:w="7182" w:type="dxa"/>
        <w:jc w:val="left"/>
        <w:tblInd w:w="0" w:type="dxa"/>
        <w:tblLayout w:type="fixed"/>
        <w:tblCellMar>
          <w:top w:w="28" w:type="dxa"/>
          <w:left w:w="28" w:type="dxa"/>
          <w:bottom w:w="28" w:type="dxa"/>
          <w:right w:w="28" w:type="dxa"/>
        </w:tblCellMar>
      </w:tblPr>
      <w:tblGrid>
        <w:gridCol w:w="2321"/>
        <w:gridCol w:w="146"/>
        <w:gridCol w:w="211"/>
        <w:gridCol w:w="676"/>
        <w:gridCol w:w="146"/>
        <w:gridCol w:w="146"/>
        <w:gridCol w:w="211"/>
        <w:gridCol w:w="676"/>
        <w:gridCol w:w="146"/>
        <w:gridCol w:w="146"/>
        <w:gridCol w:w="211"/>
        <w:gridCol w:w="571"/>
        <w:gridCol w:w="146"/>
        <w:gridCol w:w="146"/>
        <w:gridCol w:w="211"/>
        <w:gridCol w:w="781"/>
        <w:gridCol w:w="291"/>
      </w:tblGrid>
      <w:tr>
        <w:trPr/>
        <w:tc>
          <w:tcPr>
            <w:tcW w:w="2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Majority Sponsor Top-Up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137,728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RPM Call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8,229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the Company recorded $12.3 million in transfers from Level 3 to Level 2 due to an increase in available observable inputs in market data upon completion of the IPO. There were no transfers between levels within the fair value hierarchy during the year ended December 31,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Leases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has existing operating and finance leases for corporate offices and facilities, vehicles and certain equipment. The Company's leases have remaining lease terms of less than one year to 17 years, some of which include options to extend the lease term. For purposes of calculating lease liabilities, lease terms include options to extend the lease when it is reasonably certain that the Company will exercise such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components of lease expense were as follows:</w:t>
      </w:r>
    </w:p>
    <w:tbl>
      <w:tblPr>
        <w:tblW w:w="9278" w:type="dxa"/>
        <w:jc w:val="left"/>
        <w:tblInd w:w="0" w:type="dxa"/>
        <w:tblLayout w:type="fixed"/>
        <w:tblCellMar>
          <w:top w:w="28" w:type="dxa"/>
          <w:left w:w="28" w:type="dxa"/>
          <w:bottom w:w="28" w:type="dxa"/>
          <w:right w:w="28" w:type="dxa"/>
        </w:tblCellMar>
      </w:tblPr>
      <w:tblGrid>
        <w:gridCol w:w="3311"/>
        <w:gridCol w:w="746"/>
        <w:gridCol w:w="211"/>
        <w:gridCol w:w="571"/>
        <w:gridCol w:w="646"/>
        <w:gridCol w:w="646"/>
        <w:gridCol w:w="211"/>
        <w:gridCol w:w="571"/>
        <w:gridCol w:w="646"/>
        <w:gridCol w:w="646"/>
        <w:gridCol w:w="211"/>
        <w:gridCol w:w="571"/>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right-of-use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on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3,669</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3,702</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Amortization of right-of-use assets was recorded within research and development, and selling, general, and administrative expenses, interest on lease liabilities was recorded within interest expense, net, and operating lease expense was recorded within research and development, and selling, general, and administrative expenses, each in the consolidated statements of net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operating lease for the Company’s primary office location expired on March 31, 2024. The Company is currently on a month-to-month lease. On October 24, 2025, the Company signed a new office building lease for 44,576 square feet. We expect the lease to commence during the first half of 2026. The term of the lease is for seven years, beginning on the commencement date, and requires an annual initial base rent of $17.00 per square foot, which is subject to annual increases of 3.5%. Upon lease commencement the Company will recognize an initial lease liability and right-of-use asset in accordance with ASC 842. During 2025, the Company reassessed the expected renewal term of one of its operating leases, which resulted in decreases in the related right-of-use asset and lease liability of $4.3 million and $4.5 million, respectively.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Operating and finance lease right-of-use assets and liabilities were as follows:</w:t>
      </w:r>
    </w:p>
    <w:tbl>
      <w:tblPr>
        <w:tblW w:w="6184" w:type="dxa"/>
        <w:jc w:val="left"/>
        <w:tblInd w:w="0" w:type="dxa"/>
        <w:tblLayout w:type="fixed"/>
        <w:tblCellMar>
          <w:top w:w="28" w:type="dxa"/>
          <w:left w:w="28" w:type="dxa"/>
          <w:bottom w:w="28" w:type="dxa"/>
          <w:right w:w="28" w:type="dxa"/>
        </w:tblCellMar>
      </w:tblPr>
      <w:tblGrid>
        <w:gridCol w:w="3081"/>
        <w:gridCol w:w="546"/>
        <w:gridCol w:w="211"/>
        <w:gridCol w:w="676"/>
        <w:gridCol w:w="146"/>
        <w:gridCol w:w="146"/>
        <w:gridCol w:w="211"/>
        <w:gridCol w:w="676"/>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right-of-use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most of the Company’s operating leases do not provide an implicit rate, the Company uses its incremental borrowing rate based on information available at the commencement date in determining the present value of lease payments.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Lease term and discount rate were as follows:</w:t>
      </w:r>
    </w:p>
    <w:tbl>
      <w:tblPr>
        <w:tblW w:w="6529" w:type="dxa"/>
        <w:jc w:val="left"/>
        <w:tblInd w:w="0" w:type="dxa"/>
        <w:tblLayout w:type="fixed"/>
        <w:tblCellMar>
          <w:top w:w="28" w:type="dxa"/>
          <w:left w:w="28" w:type="dxa"/>
          <w:bottom w:w="28" w:type="dxa"/>
          <w:right w:w="28" w:type="dxa"/>
        </w:tblCellMar>
      </w:tblPr>
      <w:tblGrid>
        <w:gridCol w:w="4216"/>
        <w:gridCol w:w="146"/>
        <w:gridCol w:w="146"/>
        <w:gridCol w:w="571"/>
        <w:gridCol w:w="271"/>
        <w:gridCol w:w="146"/>
        <w:gridCol w:w="146"/>
        <w:gridCol w:w="571"/>
        <w:gridCol w:w="31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(years):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table below reconciles the undiscounted future minimum lease payments (displayed by year and in the aggregate) under non-cancelable operating leases with terms of more than one year to the total operating and finance lease liabilities recognized on the consolidated balance sheets. </w:t>
      </w:r>
    </w:p>
    <w:tbl>
      <w:tblPr>
        <w:tblW w:w="5560" w:type="dxa"/>
        <w:jc w:val="left"/>
        <w:tblInd w:w="0" w:type="dxa"/>
        <w:tblLayout w:type="fixed"/>
        <w:tblCellMar>
          <w:top w:w="28" w:type="dxa"/>
          <w:left w:w="28" w:type="dxa"/>
          <w:bottom w:w="28" w:type="dxa"/>
          <w:right w:w="28" w:type="dxa"/>
        </w:tblCellMar>
      </w:tblPr>
      <w:tblGrid>
        <w:gridCol w:w="1906"/>
        <w:gridCol w:w="146"/>
        <w:gridCol w:w="376"/>
        <w:gridCol w:w="1019"/>
        <w:gridCol w:w="166"/>
        <w:gridCol w:w="146"/>
        <w:gridCol w:w="378"/>
        <w:gridCol w:w="1212"/>
        <w:gridCol w:w="21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payments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26,842</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3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16,993</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Failed Sale and Leaseback</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leases various equipment through purchase and leaseback agreements with terms between five and seven years. The purchase and leaseback agreements provide an option for Firefly to purchase the equipment for nominal consideration that the Company is reasonably certain to exercise. The purchase and leaseback agreements were evaluated under the sale and leaseback guidance in ASC 842-40, </w:t>
      </w:r>
      <w:r>
        <w:rPr>
          <w:rFonts w:ascii="Times New Roman" w:hAnsi="Times New Roman"/>
          <w:i/>
          <w:color w:val="000000"/>
          <w:sz w:val="20"/>
        </w:rPr>
        <w:t>Leases – Sale and Leaseback Transactions</w:t>
      </w:r>
      <w:r>
        <w:rPr>
          <w:rFonts w:ascii="Times New Roman" w:hAnsi="Times New Roman"/>
          <w:color w:val="000000"/>
          <w:sz w:val="20"/>
        </w:rPr>
        <w:t>. Due to the purchase option, the transactions were accounted for as failed sales and leasebacks, and the Company has accounted for the purchase and leaseback agreements as 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the Company continues to reflect the manufacturing equipment on its consolidated balance sheets in property and equipment, net, and continues to recognize depreciation expense over its estimated useful life. In 2024, the Company recorded an initial financing liability of $34.7 million, net of transaction costs, in notes payable. As of December 31, 2025, the Company’s related notes payable, current and non-current, were $6.0 million and $21.1 million, respectively. As of December 31, 2024, the Company’s related notes payable, current and non-current, were $5.5 million and $27.1 million, respectively. The Company does not recognize rent expense related to these purchase and leaseback agreements. Instead, periodic lease payments are recognized as interest expense and reductions of the principal balance of the finance liability.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2025, payments of $5.5 million were made under the purchase and leaseback agreements, including interest expense of $2.4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2024, payments of $2.5 million were made under the purchase and leaseback agreements, including interest expenses of $1.4 million.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is required to maintain a minimum cash balance of the principal amount outstanding throughout the term of the purchase and leaseback agreements. </w:t>
      </w:r>
    </w:p>
    <w:p>
      <w:pPr>
        <w:pStyle w:val="TextBody"/>
        <w:bidi w:val="0"/>
        <w:jc w:val="both"/>
        <w:rPr>
          <w:rFonts w:ascii="Times New Roman" w:hAnsi="Times New Roman"/>
          <w:b/>
          <w:color w:val="000000"/>
          <w:sz w:val="20"/>
        </w:rPr>
      </w:pPr>
      <w:r>
        <w:rPr>
          <w:rFonts w:ascii="Times New Roman" w:hAnsi="Times New Roman"/>
          <w:b/>
          <w:color w:val="000000"/>
          <w:sz w:val="20"/>
        </w:rPr>
        <w:t>11. Notes Payable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Financing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17, 2023, the Company entered into a financing agreement (as amended from time to time and last amended August 13, 2024, the “Financing Agreement”) among the Company, as the Borrower, certain subsidiaries of the Company (collectively, “Guarantors”), lenders (the “Lenders”) and U.S. Bank Trust Company, N.A., as administrative agent and collateral agent (“Agent”). The Financing Agreement provided term loans in the aggregate principal amount of $136.1 million, comprised of $103.5 million principal amount of term A loans (the “Term A Loans”) and $32.6 million principal amount of term B loans (the “Term B Loans,” and together with the Term A Loans, and along with the incremental term loans from subsequent amendments from time to time, the “Term Loans”). The Term Loans mature on July 17, 2028 (the “Term Loan Maturity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obligations under the Financing Agreement were guaranteed by the Company and Guarantors, comprised of all wholly owned domestic subsidiaries of the Company other than certain excluded subsidiaries, and were secured by substantially all of the Company’s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 AON Insurance Policy was issued to the Agent on behalf of the Lenders, which indemnified the Lenders up to $103.5 million of the Term A Loans for any loss incurred if the Company fails to pay the Term Loans when due. The Company paid the initial insurance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premium of $15.0 million using the proceeds from the Term Loans. The Company was required to pay the insurer an exit fee equal to 0.75% of the principal amount of the Term A Loans on the date on which the loans were prepaid.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Financing Agreement required the Company to fund certain collateral accounts, comprised of interest reserve accounts and an insurance premium reserve account. Cash interest due but not paid from available unrestricted cash was payable from the interest reserve accounts, and funds deposited in the insurance premium account were used to pay the insurance premiums when due.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paid $18.7 million in debt issuance costs, including both lender fees and third-party costs, using the proceeds of the Term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Loans bore fixed interest rates. The interest rate for the Term A Loans was 13.875% per annum. The interest rate for the Term B Loans is 13.875% per annum from the initial closing date to the third anniversary of the initial closing date and 19.135% per annum thereafter until the Term Loan Maturity Date. Interest was computed on the basis of a 360</w:t>
        <w:noBreakHyphen/>
        <w:t>day year for the actual number of days elapsed and payable monthly in cash and in arrears on the last business day of each calendar month.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Mandatory prepayments were required to be made upon the occurrence of certain events. Voluntary prepayments were permitted in whole or in part at any time. All prepayments were subject to a specified premium that applies for the first 24 months following the initial closing date, calculated as the present value of the sum of the amounts of each unpaid interest payment due during the specified premium period computed using a discount rate equal to the treasury rate on the day one business day prior to the date of prepayment, plus 0.5%.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Financing Agreement contained certain covenants including a requirement for a minimum cash balance, financial covenants, and negative covenants customary for transactions of this type, including a specific covenant to the interest reserve accounts to maintain a minimum interest reserve amount equal to 7.9% of the aggregate balance of the Term Loans.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initial debt issuance costs, including the insurance premium paid, estimated second premium and final premium, exit fee and discount created by allocating proceeds to the fair value of the Series J Warrants issued in connection with the issuance of the Term Loans (refer to </w:t>
      </w:r>
      <w:r>
        <w:rPr>
          <w:rFonts w:ascii="Times New Roman" w:hAnsi="Times New Roman"/>
          <w:b/>
          <w:color w:val="000000"/>
          <w:sz w:val="20"/>
        </w:rPr>
        <w:t xml:space="preserve">Note 9. Fair Value Measurement </w:t>
      </w:r>
      <w:r>
        <w:rPr>
          <w:rFonts w:ascii="Times New Roman" w:hAnsi="Times New Roman"/>
          <w:color w:val="000000"/>
          <w:sz w:val="20"/>
        </w:rPr>
        <w:t xml:space="preserve">for further detail), were deferred and amortized to interest expense over the contractual term of the Term Loans using the effective interest method.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subsequent amendments of the Financing Agreement following the initial closing date did not result in a troubled debt restructuring and were all accounted for as debt modifications. As a result, the third-party costs incurred were expensed and newly incurred lender fees, along with the previously deferred and unamortized issuance costs of the Term Loans prior to the amendments, were deferred and amortized over the remaining contractual term of the Term Loans.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Term Loans Extinguishment</w:t>
      </w:r>
    </w:p>
    <w:p>
      <w:pPr>
        <w:pStyle w:val="TextBody"/>
        <w:bidi w:val="0"/>
        <w:jc w:val="both"/>
        <w:rPr>
          <w:rFonts w:ascii="Times New Roman" w:hAnsi="Times New Roman"/>
          <w:color w:val="000000"/>
          <w:sz w:val="20"/>
        </w:rPr>
      </w:pPr>
      <w:r>
        <w:rPr>
          <w:rFonts w:ascii="Times New Roman" w:hAnsi="Times New Roman"/>
          <w:color w:val="000000"/>
          <w:sz w:val="20"/>
        </w:rPr>
        <w:t>On August 8, 2025, the Company completed its IPO and used a portion of the net proceeds to fully repay the outstanding Term Loans under the Financing Agreement. The repayment included the principal amounts of the outstanding Term Loans, accrued interest, and applicable prepayment premiums.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a loss on extinguishment of debt of $30.4 million, which includes the write-off of unamortized debt issuance costs, specified premium, and the exit fee associated with the Term A Loans and Term B Loans. The specified premium applicable to the prepayment was calculated in accordance with the terms of the Financing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Following the repayment, all obligations under the Financing Agreement, including guarantees and collateral arrangements, were terminated. The interest reserve accounts and insurance premium reserve account were released, and the related restricted cash balances were reclassified to unrestricted cash.</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Interest expense recognized related to the Term Loans was as follows: </w:t>
      </w:r>
    </w:p>
    <w:tbl>
      <w:tblPr>
        <w:tblW w:w="6478" w:type="dxa"/>
        <w:jc w:val="left"/>
        <w:tblInd w:w="0" w:type="dxa"/>
        <w:tblLayout w:type="fixed"/>
        <w:tblCellMar>
          <w:top w:w="28" w:type="dxa"/>
          <w:left w:w="28" w:type="dxa"/>
          <w:bottom w:w="28" w:type="dxa"/>
          <w:right w:w="28" w:type="dxa"/>
        </w:tblCellMar>
      </w:tblPr>
      <w:tblGrid>
        <w:gridCol w:w="3001"/>
        <w:gridCol w:w="146"/>
        <w:gridCol w:w="211"/>
        <w:gridCol w:w="676"/>
        <w:gridCol w:w="146"/>
        <w:gridCol w:w="146"/>
        <w:gridCol w:w="211"/>
        <w:gridCol w:w="676"/>
        <w:gridCol w:w="146"/>
        <w:gridCol w:w="146"/>
        <w:gridCol w:w="211"/>
        <w:gridCol w:w="571"/>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August 13, 2024, the Company issued $25.0 million in subordinated convertible promissory notes (the “Convertible Notes”) to AE Industrial as the lender. The Convertible Notes accrued 15% interest per annum payable at maturity or upon early prepayment and had an original maturity date of August 18, 2028. The Convertible Notes were subordinated to all other senior indebtedness of the Company.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Pursuant to the terms of the Convertible Notes, the outstanding principal and accrued interest of the Convertible Notes would automatically share settle into the same preferred stock issued to investors at the closing of a qualified financing event, at a settlement price equal to the price of such preferred stock being offered in such financing event. A qualified financing event is a transaction in which the Company sells and issues new preferred shares, including to investors other than AE Industrial or its affiliates.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 consolidation, or merger of the Company where there is a change of control or a sale, lease or other disposition of all or substantially all of the assets of the Company (“Sale”) prior to a qualified financing event, the Company was required to redeem the Convertible Notes for cash equal to the greater of the outstanding principal plus accrued interest and the amount the lender would have received if the entire outstanding principal amount and all accrued and unpaid interest on the Convertible Notes had been converted into Series C-1 Preferred Stock shares of the Company at the Series C-1 Conversion Price immediately prior to, but contingent upon, the closing of such event.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neither a qualified financing event or a Sale event occurred prior to the maturity date, the outstanding principal and accrued interest of the Convertible Notes would automatically convert into Series C-1 Preferred Stock of the Company at a conversion price equal to the original issue price of the Series C Preferred Stock (subject to certain adjustments). Series C-1 Preferred Stock would have the same terms as to the Series C Preferred Stock. The outstanding principal and accrued interest of the Convertible Notes could be accelerated by the lender upon the occurrence and continuation of an event of default.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redemption upon a Sale event feature required bifurcation as an embedded derivative. However, such embedded derivative only had de minimis value given that the probability of the triggering event was considered remote.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did not incur material debt issuance costs. As a result, the effective interest rate of the Convertible Notes is equal to the contractual interest rate of 15% per annum.</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outstanding principal of $25.0 million and accrued interest of $0.8 million of the Convertible Notes automatically share settled into 1.5 million shares of Series D-1 Preferred Stock when the Company closed on the Series D Preferred Stock financing on October 31, 2024. Such settlement was accounted for as a debt extinguishment transaction with no gain or loss being recognized given that the settlement price was at par amount and there was no unamortized debt issuance cost at the time of settlement </w:t>
      </w:r>
      <w:r>
        <w:rPr>
          <w:rFonts w:ascii="Times New Roman" w:hAnsi="Times New Roman"/>
          <w:b/>
          <w:i/>
          <w:color w:val="000000"/>
          <w:sz w:val="20"/>
        </w:rPr>
        <w:t>(</w:t>
      </w:r>
      <w:r>
        <w:rPr>
          <w:rFonts w:ascii="Times New Roman" w:hAnsi="Times New Roman"/>
          <w:color w:val="000000"/>
          <w:sz w:val="20"/>
        </w:rPr>
        <w:t xml:space="preserve">Refer to </w:t>
      </w:r>
      <w:r>
        <w:rPr>
          <w:rFonts w:ascii="Times New Roman" w:hAnsi="Times New Roman"/>
          <w:b/>
          <w:color w:val="000000"/>
          <w:sz w:val="20"/>
        </w:rPr>
        <w:t>Note 13. Stockholders’ Equity (Deficit) and Redeemable Convertible Preferred Stock</w:t>
      </w:r>
      <w:r>
        <w:rPr>
          <w:rFonts w:ascii="Times New Roman" w:hAnsi="Times New Roman"/>
          <w:color w:val="000000"/>
          <w:sz w:val="20"/>
        </w:rPr>
        <w:t xml:space="preserve"> for further detail on the Series D-1 Preferred Stock).</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Revolving Line of Credit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August 8, 2025, following the completion of the IPO, the Company entered into a new revolving credit agreement providing for a senior secured revolving credit facility (the “Revolving Credit Facility”) in the aggregate principal amount of $125.0 million, which includes a sublimit for the issuance of letters of credit in an amount up to $15.0 million and a sublimit for swingline loans in an amount up to $7.5 million.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Revolving Credit Facility matures on August 8, 2028. The loans under the Revolving Credit Facility bear interest at a variable rate per annum equal to, at the Company's option, either (a) term SOFR plus a 3.00% spread or (b) an alternative base rate (as set forth in the credit agreement) plus a 2.00% spread. A commitment fee of 0.375% per annum is applied on the unused commitments under the Revolving Credit Facility.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connection with the execution of the Revolving Credit Facility, the Company incurred $2.4 million in lender fees, which was deferred and capitalized in other noncurrent assets on the consolidated balance sheets.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November 7, 2025, the Company amended the revolving credit agreement, which provides the Company with the Revolving Credit Facility. The amendment, among other things, increased the commitments under the Revolving Credit Facility by $135.0 million for an aggregate principal amounts of $260.0 million. The amendment was structured to provide additional borrowing capacity to support the acquisition of SciTec, Inc. and to further enhance the Company’s liquidity position. The maturity date of the Revolving Credit Facility remains unchanged. On November 10, 2025, the Company drew upon the entire $260.0 million principal amount of the loan from the Revolving Credit Facility. The loan bears interest at variable rate per annum equal to term SOFR plus a 3.00% spread and the accrued interest is payable in arrears at the end of each month. At December 31, 2025, $260.0 million remains drawn under the Revolving Credit Facility.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connection with the amendment of the Revolving Credit Facility, the Company incurred additional $1.4 million debt issuance cost, which was deferred and capitalized in other noncurrent assets on the consolidated balance sheets, along with the unamortized debt issuance costs incurred for the execution of the Revolving Credit Facility.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capitalized debt issuance cost is amortized into interest expense over the term of the Revolving Credit Facility on a straight-line basis. The unamortized debt issuance costs for the Revolving Facility totaled $3.4 million as of December 31, 2025. The interest expense recognized related to the Revolving Facility is $3.1 million for the year ended December 31, 2025, including $2.7 million of contractual interest expense and $0.4 million in amortization of debt issuance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presents the Company's outstanding debt: </w:t>
      </w:r>
    </w:p>
    <w:tbl>
      <w:tblPr>
        <w:tblW w:w="7811" w:type="dxa"/>
        <w:jc w:val="left"/>
        <w:tblInd w:w="0" w:type="dxa"/>
        <w:tblLayout w:type="fixed"/>
        <w:tblCellMar>
          <w:top w:w="28" w:type="dxa"/>
          <w:left w:w="28" w:type="dxa"/>
          <w:bottom w:w="28" w:type="dxa"/>
          <w:right w:w="28" w:type="dxa"/>
        </w:tblCellMar>
      </w:tblPr>
      <w:tblGrid>
        <w:gridCol w:w="4486"/>
        <w:gridCol w:w="146"/>
        <w:gridCol w:w="273"/>
        <w:gridCol w:w="1010"/>
        <w:gridCol w:w="214"/>
        <w:gridCol w:w="188"/>
        <w:gridCol w:w="273"/>
        <w:gridCol w:w="1010"/>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7.71% due 2029</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8.31% due 2031</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13.875% due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borrowings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288,809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Unamortized issuance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288,540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147,952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281,441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141,603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The unamortized issuance costs do not include the $3.4</w:t>
      </w:r>
      <w:r>
        <w:rPr>
          <w:rFonts w:ascii="Times New Roman" w:hAnsi="Times New Roman"/>
          <w:color w:val="000000"/>
          <w:sz w:val="20"/>
        </w:rPr>
        <w:t xml:space="preserve"> </w:t>
      </w:r>
      <w:r>
        <w:rPr>
          <w:rFonts w:ascii="Times New Roman" w:hAnsi="Times New Roman"/>
          <w:color w:val="000000"/>
          <w:sz w:val="16"/>
        </w:rPr>
        <w:t>million in debt issuance costs related to the Revolving Credit Facility included in other long term assets.</w:t>
      </w:r>
    </w:p>
    <w:p>
      <w:pPr>
        <w:pStyle w:val="TextBody"/>
        <w:bidi w:val="0"/>
        <w:spacing w:before="0" w:after="200"/>
        <w:jc w:val="both"/>
        <w:rPr>
          <w:rFonts w:ascii="Times New Roman" w:hAnsi="Times New Roman"/>
          <w:sz w:val="20"/>
        </w:rPr>
      </w:pPr>
      <w:r>
        <w:rPr>
          <w:rFonts w:ascii="Times New Roman" w:hAnsi="Times New Roman"/>
          <w:color w:val="000000"/>
          <w:sz w:val="16"/>
        </w:rPr>
        <w:t>(2)</w:t>
      </w:r>
      <w:r>
        <w:rPr>
          <w:rFonts w:ascii="Times New Roman" w:hAnsi="Times New Roman"/>
          <w:color w:val="000000"/>
          <w:sz w:val="20"/>
        </w:rPr>
        <w:t xml:space="preserve"> </w:t>
      </w:r>
      <w:r>
        <w:rPr>
          <w:rFonts w:ascii="Times New Roman" w:hAnsi="Times New Roman"/>
          <w:color w:val="000000"/>
          <w:sz w:val="16"/>
        </w:rPr>
        <w:t>Includes obligations related to</w:t>
      </w:r>
      <w:r>
        <w:rPr>
          <w:rFonts w:ascii="Times New Roman" w:hAnsi="Times New Roman"/>
          <w:color w:val="000000"/>
          <w:sz w:val="20"/>
        </w:rPr>
        <w:t xml:space="preserve"> </w:t>
      </w:r>
      <w:r>
        <w:rPr>
          <w:rFonts w:ascii="Times New Roman" w:hAnsi="Times New Roman"/>
          <w:color w:val="000000"/>
          <w:sz w:val="16"/>
        </w:rPr>
        <w:t xml:space="preserve">various equipment recorded as failed sale leaseback transactions. Refer to </w:t>
      </w:r>
      <w:r>
        <w:rPr>
          <w:rFonts w:ascii="Times New Roman" w:hAnsi="Times New Roman"/>
          <w:b/>
          <w:color w:val="000000"/>
          <w:sz w:val="16"/>
        </w:rPr>
        <w:t xml:space="preserve">Note 10. Leases </w:t>
      </w:r>
      <w:r>
        <w:rPr>
          <w:rFonts w:ascii="Times New Roman" w:hAnsi="Times New Roman"/>
          <w:color w:val="000000"/>
          <w:sz w:val="16"/>
        </w:rPr>
        <w:t>for further detail.</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future principal payments on notes payable in each of the next five years and thereafter:</w:t>
      </w:r>
    </w:p>
    <w:tbl>
      <w:tblPr>
        <w:tblW w:w="4435" w:type="dxa"/>
        <w:jc w:val="left"/>
        <w:tblInd w:w="0" w:type="dxa"/>
        <w:tblLayout w:type="fixed"/>
        <w:tblCellMar>
          <w:top w:w="28" w:type="dxa"/>
          <w:left w:w="28" w:type="dxa"/>
          <w:bottom w:w="28" w:type="dxa"/>
          <w:right w:w="28" w:type="dxa"/>
        </w:tblCellMar>
      </w:tblPr>
      <w:tblGrid>
        <w:gridCol w:w="2986"/>
        <w:gridCol w:w="146"/>
        <w:gridCol w:w="211"/>
        <w:gridCol w:w="781"/>
        <w:gridCol w:w="3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267,078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288,809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Unamortized issuance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288,540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Times New Roman" w:hAnsi="Times New Roman"/>
          <w:color w:val="000000"/>
          <w:sz w:val="16"/>
        </w:rPr>
        <w:t>(1) The unamortized issuance costs do not include the $3.4</w:t>
      </w:r>
      <w:r>
        <w:rPr>
          <w:rFonts w:ascii="Times New Roman" w:hAnsi="Times New Roman"/>
          <w:color w:val="000000"/>
          <w:sz w:val="20"/>
        </w:rPr>
        <w:t xml:space="preserve"> </w:t>
      </w:r>
      <w:r>
        <w:rPr>
          <w:rFonts w:ascii="Times New Roman" w:hAnsi="Times New Roman"/>
          <w:color w:val="000000"/>
          <w:sz w:val="16"/>
        </w:rPr>
        <w:t>million in debt issuance costs related to the Revolving Credit Facility included in other long term assets.</w:t>
      </w:r>
      <w:r>
        <w:rPr>
          <w:rFonts w:ascii="Times New Roman" w:hAnsi="Times New Roman"/>
          <w:color w:val="000000"/>
          <w:sz w:val="20"/>
        </w:rPr>
        <w:t xml:space="preserve">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 and Claims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is, and from time to time may be, a party to claims and legal proceedings arising in the normal course of business. In the opinion of management, there are no legal matters or claims likely to have a material adverse effect on the Company's financial position, results of operations or cash flows.</w:t>
      </w:r>
    </w:p>
    <w:p>
      <w:pPr>
        <w:pStyle w:val="TextBody"/>
        <w:bidi w:val="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that arise in the ordinary course of business activities. The Company will accrue a liability for such matters when it is probable that a liability has been incurred and the amount can be reasonably estimated. When only a range of a possible loss can be established, the most probable amount in the range is accrued. If no amount within the range is a better estimate than any other amount within the range, the minimum amount in the range is accrued. The accrual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for a litigation loss contingency might include, for example, estimates of potential damages, outside legal fees, and other directly related costs expected to be incurred.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does not believe that any such matters, individually or in the aggregate, will have a materially adverse effect on the Company's consolidated financial condition, results of operations, or cash 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had $2.3 million and $19.5 million of contingent liabilities related Spaceflight, Inc. contracts as of December 31, 2025 and 2024, respectively, which are included in other non-current liabilities, less current portion in the consolidated balance sheets. Due to the resolution of certain of the underlying matters, the balance decreased by $17.2 million during the year ended December 31, 2025, and resulted in a net gain of $8.4 million recognized in the consolidated statements of net loss and comprehensive loss during the year ended December 31, 2025, after the derecognition of certain related Spaceflight contract assets.</w:t>
      </w:r>
    </w:p>
    <w:p>
      <w:pPr>
        <w:pStyle w:val="TextBody"/>
        <w:bidi w:val="0"/>
        <w:jc w:val="both"/>
        <w:rPr>
          <w:rFonts w:ascii="Times New Roman" w:hAnsi="Times New Roman"/>
          <w:sz w:val="20"/>
        </w:rPr>
      </w:pPr>
      <w:r>
        <w:rPr>
          <w:rFonts w:ascii="Times New Roman" w:hAnsi="Times New Roman"/>
          <w:b/>
          <w:color w:val="000000"/>
          <w:sz w:val="20"/>
        </w:rPr>
        <w:t>13. Stockholders’ Equity (Deficit) and Redeemable Convertible Preferred Stock</w:t>
      </w:r>
      <w:r>
        <w:rPr>
          <w:rFonts w:ascii="Times New Roman" w:hAnsi="Times New Roman"/>
          <w:color w:val="000000"/>
          <w:sz w:val="20"/>
        </w:rPr>
        <w:t xml:space="preserve">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February 2, 2023, the Company entered into the Series C Purchase Agreement and on the same date, issued approximately 1.9 million shares of Series C Preferred Stock at $16.0640 per share (the “Series C Per Share Price”) for aggregate gross proceeds of approximately $30.2 million (the “Series C Initial Closing”). On March 27, 2023, the Company completed a subsequent closing (the “Series C Second Closing”) and sold an additional approximate 4.1 million shares of Series C Preferred Stock at the Series C Per Share Price for aggregate gross proceeds of approximately $66.1 million, including cash proceeds of approximately $65.3 million and a prepaid purchase credit of approximately $0.8 million to offset future payments for the Company’s purchase of hardware from one of the Company’s suppliers. On June 13, 2023, the Company completed another subsequent closing (the “Series C Third Closing”) and sold an additional approximate 3.8 million shares of Series C Preferred Stock at the Series C Per Share Price for aggregate gross proceeds of approximately $61.9 million.</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On June 8, 2023, in connection with the Company’s acquisition of Spaceflight, the Company issued approximately 2.7 million shares of Series M Preferred Stock (Refer to </w:t>
      </w:r>
      <w:r>
        <w:rPr>
          <w:rFonts w:ascii="Times New Roman" w:hAnsi="Times New Roman"/>
          <w:b/>
          <w:color w:val="000000"/>
          <w:sz w:val="20"/>
        </w:rPr>
        <w:t>Note 3. Business Combinations for further detail</w:t>
      </w:r>
      <w:r>
        <w:rPr>
          <w:rFonts w:ascii="Times New Roman" w:hAnsi="Times New Roman"/>
          <w:color w:val="000000"/>
          <w:sz w:val="20"/>
        </w:rPr>
        <w:t>).</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On June 14, 2023, the Company authorized the issuance of 0.6 million shares of the Series J Preferred Stock in connection with the execution of the Financing Agreement and issuance of the Series J Warrants (Refer to </w:t>
      </w:r>
      <w:r>
        <w:rPr>
          <w:rFonts w:ascii="Times New Roman" w:hAnsi="Times New Roman"/>
          <w:b/>
          <w:color w:val="000000"/>
          <w:sz w:val="20"/>
        </w:rPr>
        <w:t xml:space="preserve">Note 11. Notes Payable </w:t>
      </w:r>
      <w:r>
        <w:rPr>
          <w:rFonts w:ascii="Times New Roman" w:hAnsi="Times New Roman"/>
          <w:color w:val="000000"/>
          <w:sz w:val="20"/>
        </w:rPr>
        <w:t>for further detail). There was no Series J Preferred Stock issued and outstanding as of the years ended December 31, 2024 and December 31, 2023.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January 12, 2024, the Company completed a subsequent closing (the “Series C Fourth Closing”) and sold an additional approximate 1.3 million shares of Series C Preferred Stock at Series C Per Share Price for aggregate gross proceeds of $21.0 million, including cash proceeds of $20.0 million and a prepaid purchase credit of $1.0 million to offset future payments for the Company’s purchase of hardware from one of the Company’s suppliers.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February 15, 2024, the Company issued 0.1 million shares of Series M Preferred Stock at $16.0640 per share to one of the Company’s service providers as settlement for approximately $1.1 million of existing payables owed by the Company to the service provider. On March 11, 2024, the Company issued 6.0 thousand shares of Series M Preferred Stock at $16.0640 per share to another one of the Company’s service providers as settlement for approximately $0.1 million of existing payables owed by the Company to the service provider.</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On October 31, 2024, the Company entered into the Series D Purchase Agreement and on the same date issued approximately 10.4 million shares of Series D-1 Preferred Stock at a purchase price of $16.9213 per share (the “Series D Per Share Price”) for aggregate gross proceeds of approximately $175.5 million (the “Series D Initial Closing”), including $25.8 million principal and accrued interests from the conversion of the Convertible Notes (refer to </w:t>
      </w:r>
      <w:r>
        <w:rPr>
          <w:rFonts w:ascii="Times New Roman" w:hAnsi="Times New Roman"/>
          <w:b/>
          <w:color w:val="000000"/>
          <w:sz w:val="20"/>
        </w:rPr>
        <w:t>Note 11. Notes Payable</w:t>
      </w:r>
      <w:r>
        <w:rPr>
          <w:rFonts w:ascii="Times New Roman" w:hAnsi="Times New Roman"/>
          <w:color w:val="000000"/>
          <w:sz w:val="20"/>
        </w:rPr>
        <w:t xml:space="preserve"> for further detail). On November 15, 2024, the Company completed a subsequent closing (the “Series D Second Closing”) and sold an additional approximate 0.1 million shares of Series D-1 Preferred Stock at the Series D Per Share Price for aggregate gross proceeds of $1.3 million.</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25, 2025, the Company amended its Amended and Restated Certificate of Incorporation and the Series D Purchase Agreement. The amendment increased the number of authorized shares of Series D-1 Preferred Stock to 26.6 million and authorized the issuance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 to 5.5 million shares of Series D3 Preferred Stock. The Series D-3 Preferred Stock was issued at a purchase price of $18.1504 per share and has the same economic characteristics and preferences as the Series D-1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31, 2025 and April 10, 2025, the Company completed a series of additional closings and sold an aggregate of 10.4 million shares of Series D-1 Preferred Stock at $16.9213 per share for aggregate cash proceeds of $176.0 million, and 0.6 million shares of Series D-3 Preferred Stock at $18.1504 per share for aggregate gross proceeds of $10.0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the Company's IPO, all of the then-outstanding shares of the Company’s redeemable convertible preferred stock (collectively, the “Preferred Stock”) were automatically converted into 105.8 million shares of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Preferred Stock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29"/>
        <w:gridCol w:w="1046"/>
        <w:gridCol w:w="248"/>
        <w:gridCol w:w="798"/>
        <w:gridCol w:w="1046"/>
        <w:gridCol w:w="1046"/>
        <w:gridCol w:w="186"/>
        <w:gridCol w:w="865"/>
        <w:gridCol w:w="146"/>
        <w:gridCol w:w="146"/>
        <w:gridCol w:w="207"/>
        <w:gridCol w:w="966"/>
        <w:gridCol w:w="146"/>
        <w:gridCol w:w="146"/>
        <w:gridCol w:w="211"/>
        <w:gridCol w:w="781"/>
        <w:gridCol w:w="392"/>
      </w:tblGrid>
      <w:tr>
        <w:trPr/>
        <w:tc>
          <w:tcPr>
            <w:tcW w:w="18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 Value</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Issued</w:t>
              <w:br/>
              <w:t>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Seed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Seed-1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204,454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A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B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C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213,871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M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D-1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180,308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D-2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b/>
                <w:color w:val="000000"/>
                <w:sz w:val="20"/>
              </w:rPr>
            </w:pPr>
            <w:r>
              <w:rPr>
                <w:rFonts w:ascii="Times New Roman" w:hAnsi="Times New Roman"/>
                <w:b/>
                <w:color w:val="000000"/>
                <w:sz w:val="20"/>
              </w:rPr>
              <w:t>Total</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900"/>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759,582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summarizes the rights, preferences, and privileges of the Company’s redeemable convertible preferred stock preceding the Company’s IPO:</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Liquidation Preference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Upon a liquidation, dissolution or winding up of the Company or any deemed liquidation event, out of the funds and assets of the Company available for distribution to its stockholders and in the order of the Series D Preferred Stock, Series C Preferred Stock, Series J Preferred Stock, Series B Preferred Stock, Series A Preferred Stock, Series Seed-1 Preferred Stock, Series Seed Preferred Stock and Series M Preferred Stock, each holder of the Series D Preferred Stock, Series C Preferred Stock and Series B Preferred Stock will be entitled to receive an amount in cash equal to two times the original issue price for such shares plus accrued but unpaid dividends; each holder of the Series A Preferred Stock will be entitled to receive an amount in cash equal to one and a half times the original issue price for such shares plus any declared but unpaid dividends; each holder of the Series Seed Preferred Stock and Series Seed-1 Preferred Stock will be entitled to receive an amount in cash equal to the deemed issue price for such shares plus accrued but unpaid dividends; and each holder of the Series J Preferred Stock and Series M Preferred Stock will be entitled to receive an amount in cash equal to the original issue price for such shares plus accrued but unpaid dividends.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deemed issue price of the Series Seed Preferred Stock and Series Seed-1 Preferred Stock was $1.4590 per share and $62.4715 per share, respectively. The original issue price of the Series Seed Preferred Stock, Series Seed-1 Preferred Stock, Series A Preferred Stock, Series B Preferred Stock, Series C Preferred Stock, Series D Preferred Stock, Series M Preferred Stock, and Series J Preferred Stock was $0.1281 per share, $6.2471 per share, $12.4888 per share, $12.7791 per share, $16.0640 per share, $16.9213 per share, $16.0640 per share, and $16.0640 per share, respectively.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Out of assets of the Company legally available for dividends and in the same order as the order of the liquidation preference of each series of the Preferred Stock, except that the Series Seed-1 Preferred Stock and Series Seed Preferred Stock shall have the same priority in any dividend distribution, each holder of the Series D-1 Preferred Stock, Series D-2 Preferred Stock, Series D-3 Preferred Stock and Series C Preferred Stock is entitled to receive dividends accruing on a daily basis, whether or not declared by the Company, at the annual non-compounding rate of 12% of the original issue price per share; each holder of the Series Seed-1 Preferred Stock and Series Seed Preferred Stock is entitled to receive when, if and as declared by the Company’s Board of Directors non-cumulative and non-accruing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dividends at the annual rate of 8% of the applicable deemed issue price per share; and each holder of the remaining series of the Preferred Stock is entitled to receive non-cumulative and non-accruing dividends at the annual rate of 8% of the applicable original issue price per share.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Preferred Stock dividends are payable when and if declared by the Company. After payment of the Preferred Stock dividends, any additional dividends would be distributed among all holders of the Preferred Stock and common stock according to the number of shares of common stock that would be held by each holder of the Preferred Stock if all their shares were converted into common stock at the then applicable conversion rate.</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10, 2025, the Company’s Board of Directors declared a dividend (the “Preferred Stock Dividend”) payable in shares of the Company's common stock in respect of all accrued and unpaid dividends on the Company’s outstanding shares of Series C, Series D-1, Series D-2, and Series D-3 Preferred Stock held as of July 11, 2025. The Company paid the Preferred Stock Dividend on July 16, 2025, upon receipt of consents that were required from certain third parties, and issued approximately 3.3 million shares of common stock to the then-existing holders of its Series C, Series D-1, Series D-2, and Series D-3 Preferred Stock.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Company’s Board of Directors declared a dividend (the “IPO Closing Preferred Stock Dividend”) payable in cash in respect of all unpaid dividends on the Company’s outstanding shares of Series C, Series D-1, Series D-2, and Series D-3 Preferred Stock that had accrued following July 11, 2025 through the conversion of such Preferred Stock into shares of common stock on August 8, 2025 in connection with the completion of the IPO. On August 28, 2025, the Company paid the IPO Closing Preferred Stock Dividend in an aggregate amount of $5.0 million in cash.</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holder of the Preferred Stock, except for the holder of the Series D-2 Preferred Stock, is entitled to the number of votes equal to the number of whole shares of common stock into which the shares of the Preferred Stock held by such holder could be converted as of the record date on any matter presented to the Company’s stockholders for their action or consideration at any meeting. Additionally, if the Glow Investors, an affiliate of AE Industrial and its permitted transferees, hold less than 50.1% of the votes represented by all outstanding shares of the Company’s equity as a result of certain stock options, the number of votes then held by the Glow Investors shall be automatically adjusted such that the Glow Investors hold in the aggregate 50.1% of the votes represented by all outstanding shares of the Company’s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Conversion Rights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Optional Conversion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Series Seed Preferred Stock and Series Seed-1 Preferred Stock is convertible into the number of shares of common stock determined by dividing the deemed issue price by the conversion price in effect. All other series of the Preferred Stock are convertible, at the option of the holder thereof, at any time after the date of issuance and from time to time, into such number of fully paid and nonassessable shares of Common Stock determined by, for the Preferred Stock other than the Series Seed Preferred Stock and Series Seed-1 Preferred Stock, into the number of shares of common stock determined by dividing the original issue price for the relevant series of the Preferred Stock by the conversion price in effect for such series of the Preferred Stock. Each share of Series D-2 Preferred Stock is convertible into one share of Series D-1 Preferred Stock.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Mandatory Conversion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Upon the closing of a Qualified IPO or a SPAC Transaction (each as defined in the Company’s Amended and Restated Certificate of Incorporation) or (1) a majority vote of the holders of the outstanding shares of the Preferred Stock on an as-converted basis, (2) a majority vote of the holders of the outstanding shares of the Series C Preferred Stock, and (3) the Requisite Series D Preferred Approval (as defined in the Company’s Amended and Restated Certificate of Incorporation), all outstanding shares of the Preferred Stock will automatically convert into shares of common stock at the then-effective conversion rate for such share. The conversion prices and rates for each series of the Preferred Stock are the same in the event of a mandatory conversion as they would be in the event of an optional conversion.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Redemption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or after the fifth anniversary of their issuance, shares of the Series D Preferred Stock become redeemable at a price equal to the original issue price per share plus all unpaid dividends thereon, in three annual installments commencing not more than one-hundred eighty days after the Requisite Series D Preferred Approval (the “Series D Redemption Right”).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Subject to the prior satisfaction of the Series D Redemption Right, shares of the Series C Preferred Stock were entitled to the same redemption right on or after the fifth annual anniversary of the original issue date of the Series D Preferred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Preferred Stock was classified as mezzanine, or temporary, equity as the Preferred Stock was redeemable in the event of a deemed liquidation event. This event was not within the Company’s control as the Company’s Board of Directors was controlled by the holders of the Preferred Stock, and the Series D Preferred Stock and Series C Preferred Stock were also redeemable at the holder’s option after the fifth anniversary of the original issuance of the Series D Preferred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periods prior to the mandatory conversion of the Series C and Series D Preferred Stock, the Company accreted the Series D Preferred Stock and Series C Preferred Stock to their redemption value at each reporting date, which equals to their original issue price plus the accrued but unpaid dividends, as they were probable of becoming redeemable under the redemption option at the holder’s option. The Company recognized the changes in redemption in the redemption value immediately as they occurred and adjusts the carrying value to equal to the current maximum redemption value at the end of each reporting period. During the year ended December 31, 2025, the Company recorded accretion of $22.4 million and $13.2 million related to the Series D Preferred Stock and Series C Preferred Stock, respectively. During the year ended December 31, 2024, the Company recorded accretion of $13.5 million and $21.2 million, respectively, related to the Series D Preferred Stock and Series C Preferred Stock, respectively. During the year ended December 31, 2023, the Company recorded accretion of zero and $20.8 million, respectively, related to the Series D Preferred Stock and Series C Preferred Stock, respectively. The accretion is recorded as an adjustment to the additional paid-in capital in the consolidated balance sheets. The Company recognizes all other series of Preferred Stock at their issuance price, net of issuance costs, and is not currently remeasuring these series of Preferred Stock as they are neither currently redeemable nor probable of becoming redeemable.</w:t>
      </w:r>
    </w:p>
    <w:p>
      <w:pPr>
        <w:pStyle w:val="TextBody"/>
        <w:bidi w:val="0"/>
        <w:jc w:val="both"/>
        <w:rPr>
          <w:rFonts w:ascii="Times New Roman" w:hAnsi="Times New Roman"/>
          <w:sz w:val="20"/>
        </w:rPr>
      </w:pPr>
      <w:r>
        <w:rPr>
          <w:rFonts w:ascii="Times New Roman" w:hAnsi="Times New Roman"/>
          <w:b/>
          <w:i/>
          <w:color w:val="000000"/>
          <w:sz w:val="20"/>
        </w:rPr>
        <w:t>Warrants to Purchase Common Stock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31, 2024, the Company entered into the Series D Purchase Agreement with certain investor parties and on the same date sold 10.4 million shares of its Series D-1 Preferred Stock at a purchase price of $16.9213 per share for aggregate gross proceeds of $175.5 million (the “Series D Initial Closing”), including $25.8 million principal and accrued interest from the conversion of the subordinated convertible promissory notes. On November 15, 2024, the Company completed a subsequent closing (the “Series D Second Closing”) and sold an additional 0.1 million shares of Series D-1 Preferred Stock at $16.9213 per share for aggregate gross proceeds of $1.3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issuance of the Series D-1 Preferred Stock at the Series D Initial Closing, the Company issued investors the Common Warrants to purchase an aggregate of 1.0 million shares of common stock with a ten-year term and exercise price of $0.91 per share (subject to certain adjustments). The Common Warrants were classified as derivative liabilities as they contained a change of control provision that could result in the holders receiving a settlement amount exceeding the fair value of the Common Warrants at the time of settlement and such provision could have also resulted in the Common Warrants being redeemed outside of the Company’s control. The Common Warrants were measured at fair value both initially and subsequently with changes in fair value recognized through earnings. The fair value of the Common Warrants was $1.3 million upon issuance, which created a discount on the Series D-1 Preferred Stock that discount was accreted to the redemption value of the Series D-1 Preferred Stock as part of the subsequent remeasurement of the Series D-1 Preferred Stock. In connection with the IPO on August 8, 2025, all Common Warrants were exercised into the Company’s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Tranche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the time of the Series D Initial Closing, the Company granted the RPM Investor (an investor in the Series D-1 Preferred Stock) the option but not obligation to purchase up to 1.8 million shares of Series D-1 Preferred Stock at a purchase price of $16.9213 per share (the “RPM Call Option”) at the final closing of the Series D Preferred Stock. On November 15, 2024, in connection with the Series D Second Closing, the number of the shares underlying the RPM Call Option was amended to 1.9 million shares.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at the time of the Series D Initial Closing, the Company and the Majority Sponsor, an affiliate of AE Industrial, agreed that, if the total amount of the Series D Preferred Stock purchased was less than $250.0 million within six months of the Series D Initial Closing, the Majority Sponsor would purchase additional Series D Preferred Stock to make their total investment equal to $125.0 million (the “Majority Sponsor Top-Up,” and together with the RPM Call Option, the “Tranche Obligations”).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Tranche Obligations are classified as liabilities. The RPM Call Option represents an unconditional obligation to issue Series D-1 Preferred Stock, and the Majority Sponsor Top-Up represents a conditional obligation to issue Series D Preferred Stock. Because the Series D Preferred Stock may be redeemed upon events not within the Company’s control, the Tranche Obligations embody a conditional obligation for the Company to transfer assets to repurchase its equity under such a scenario.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Tranche Obligations are measured at fair value both initially and subsequently with changes in fair value recognized through earnings. Upon issuance, the aggregate value of the Tranche Obligations created a discount on the Series D-1 Preferred Stock and this discount was accreted to the redemption value of the Series D-1 Preferred Stock as part of the subsequent remeasurement of the Series D-1 Preferred Stock. In March 2025, the Majority Sponsor Top-Up expired unexercised when the total amount of Series D Preferred Stock purchased by investors exceeded $250.0 million. On March 24, 2025, the RPM Call Option was terminated via amendment of the Series D Purchase Agreement. As a result, the Majority Sponsor Top-Up and RPM Call Option were derecognized from the consolidated balance sheet, with all related amounts recognized in other income, net.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 Stock-Based Compensation</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2017 Equity Incentive Plans</w:t>
      </w:r>
    </w:p>
    <w:p>
      <w:pPr>
        <w:pStyle w:val="TextBody"/>
        <w:bidi w:val="0"/>
        <w:jc w:val="both"/>
        <w:rPr>
          <w:rFonts w:ascii="Times New Roman" w:hAnsi="Times New Roman"/>
          <w:color w:val="000000"/>
          <w:sz w:val="20"/>
        </w:rPr>
      </w:pPr>
      <w:r>
        <w:rPr>
          <w:rFonts w:ascii="Times New Roman" w:hAnsi="Times New Roman"/>
          <w:color w:val="000000"/>
          <w:sz w:val="20"/>
        </w:rPr>
        <w:t>In October 2017, the Company adopted and approved the 2017 Stock Plan (the “2017 Plan”) under which 3.1 million shares of the Company’s common stock were originally reserved for issuance to employees, directors, and consultants. Since its inception, the Company has periodically amended the 2017 Plan to increase the number of reserved shares. In 2023, the Company twice amended the 2017 Plan to increase the number of reserved shares to a total of approximately 26.7 million. In 2024, the Company twice amended the 2017 Plan to increase the number of reserved shares by an additional total 11.3 million shares for a total of approximately 38.1 million. Under the 2017 Plan, the Company may grant stock options, restricted stock awards (“RSAs”), and RSUs. Options granted under the Plan may be either incentive stock options (“ISOs”) or stock options (“NSOs”). ISOs may be granted only to Company employees (including officers and directors). Awards granted under the 2017 Plan generally vest based on service over various periods ranging from immediately to five years. Certain performance-based awards vest upon the occurrence of a qualified liquidity event (including a change in control or IPO), while some awards may accelerate vesting upon such an event. Options expire as determined by the Board of Directors but not more than ten years after the date of grant, unless the holder of an ISO owns more than 10% of the voting power in the Company, in which case the term cannot exceed five years. The Company had no shares of common stock available for issuance under the 2017 Plan, as of December 31, 2025, and 9.6 million shares of common stock available for issuance under the 2017 Plan, as of December 31, 2024.</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2024, the Company established a Performance-Based Incentive Compensation Plan (the “2024 Plan”) that allows for the issuance of stock options, RSAs, RSUs, and cash incentives to employees, directors, and consultants. The stock based awards granted under the 2024 Plan are governed in accordance with the 2017 Plan. The 2024 Plan also includes cash incentive opportunities tied to the achievement of specific performance goals. Subsequent to its adoption, all equity-based awards were issued under the 2024 Plan, and no further awards were granted under the 2017 Plan.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2025 Omnibus Incentive Plan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July 2025, the Board of Directors adopted, and the Company's stockholders approved, the Firefly Aerospace Inc. 2025 Omnibus Incentive Plan (the “2025 Plan”). The 2025 Plan authorizes grants of stock options, stock appreciation rights, RSAs, RSUs, performance awards, other stock</w:t>
        <w:noBreakHyphen/>
        <w:t xml:space="preserve">based awards, cash awards, and substitute awards. The 2025 Plan reserves 24.1 million shares of common stock, subject to annual increases beginning January 1, 2026 equal to the lesser of (i) 3% of shares outstanding or (ii) a smaller amount determined by the Board of Directors. RSUs and restricted stock granted under the 2025 Plan vest based on service, performance conditions, or both, and unvested units are typically forfeited upon termination.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Compensation cost for employee stock-based awards is based on the estimated grant date fair value and is recognized over the vesting period of the applicable award on a straight-line basis for service-based awards with graded vesting.</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2025 Employee Stock Purchase Plan</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2025, the Board of Directors adopted, and the Company's shareholders approved, the 2025 Employee Stock Purchase Plan (the “ESPP”). The ESPP authorizes the issuance of shares of common stock pursuant to purchase rights granted to the Company's employees. The option purchase price will be designated by the ESPP administrator but will not be less than 85% of the fair market value of a share of the Company's common stock on the applicable enrollment date or the applicable exercise date, whichever is lower. A total of 3.2 million shares of the Company's common stock was initially reserved for issuance under the ESPP. In addition, the number of shares available for issuance under the ESPP will be increased annually on January 1 of each fiscal year beginning in 2026 by an amount equal to the lesser of (i) 1.0% of the shares outstanding on the last day of the immediately preceding fiscal year or (ii) a lesser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amount determined by the Company's Board of Directors; provided, however, that no more than 3.2 million shares may be issued per year in total under the ESPP.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Subsequent to the IPO, the Company grants service-based RSUs to employees, all of which relate to the Company's common stock, under the 2025 Plan. RSUs generally expire four years from grant date. The service-based vesting condition for these awards is generally satisfied by rendering continuous service, generally for one to four years, during which time the grants will vest either with a cliff vesting period of one year and continued vesting quarterly thereafter or quarterly from the vesting commencement date. The fair value of RSUs is based on the closing market price of the Company’s common stock on the grant date. The Company records stock-based compensation expense related to RSUs on a straight-line basis over the requisite service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year ended December 31, 2025, the Company granted RSUs to certain employees under the 2025 Plan. Each RSU represents the right to receive one share of the Company’s common stock upon vesting. The RSUs granted generally vest over the requisite service period specified in each award agreement. Unvested RSUs are forfeited upon termination of employment, unless otherwise provided under the award terms.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summary of the Company's RSU activity for the year ended December 31, 2025 is presented below:</w:t>
      </w:r>
    </w:p>
    <w:tbl>
      <w:tblPr>
        <w:tblW w:w="7997" w:type="dxa"/>
        <w:jc w:val="left"/>
        <w:tblInd w:w="0" w:type="dxa"/>
        <w:tblLayout w:type="fixed"/>
        <w:tblCellMar>
          <w:top w:w="28" w:type="dxa"/>
          <w:left w:w="28" w:type="dxa"/>
          <w:bottom w:w="28" w:type="dxa"/>
          <w:right w:w="28" w:type="dxa"/>
        </w:tblCellMar>
      </w:tblPr>
      <w:tblGrid>
        <w:gridCol w:w="2986"/>
        <w:gridCol w:w="146"/>
        <w:gridCol w:w="146"/>
        <w:gridCol w:w="571"/>
        <w:gridCol w:w="166"/>
        <w:gridCol w:w="146"/>
        <w:gridCol w:w="982"/>
        <w:gridCol w:w="2663"/>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December 31, 2024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38.94</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total fair value of RSUs vested during the year ended December 31, 2025 was $0.3 million. Total unrecognized compensation cost related to unvested RSUs was $140.9 million, which is expected to be recognized over a weighted</w:t>
        <w:noBreakHyphen/>
        <w:t>average period of 3.7 years.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stock option activity during the year ended December 31, 2025:</w:t>
      </w:r>
    </w:p>
    <w:tbl>
      <w:tblPr>
        <w:tblW w:w="10205" w:type="dxa"/>
        <w:jc w:val="left"/>
        <w:tblInd w:w="0" w:type="dxa"/>
        <w:tblLayout w:type="fixed"/>
        <w:tblCellMar>
          <w:top w:w="28" w:type="dxa"/>
          <w:left w:w="28" w:type="dxa"/>
          <w:bottom w:w="28" w:type="dxa"/>
          <w:right w:w="28" w:type="dxa"/>
        </w:tblCellMar>
      </w:tblPr>
      <w:tblGrid>
        <w:gridCol w:w="1823"/>
        <w:gridCol w:w="146"/>
        <w:gridCol w:w="356"/>
        <w:gridCol w:w="1658"/>
        <w:gridCol w:w="166"/>
        <w:gridCol w:w="146"/>
        <w:gridCol w:w="737"/>
        <w:gridCol w:w="1633"/>
        <w:gridCol w:w="146"/>
        <w:gridCol w:w="146"/>
        <w:gridCol w:w="727"/>
        <w:gridCol w:w="2327"/>
        <w:gridCol w:w="194"/>
      </w:tblGrid>
      <w:tr>
        <w:trPr/>
        <w:tc>
          <w:tcPr>
            <w:tcW w:w="1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Remaining Contractual Term</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January 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16,000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w:t>
            </w:r>
          </w:p>
        </w:tc>
        <w:tc>
          <w:tcPr>
            <w:tcW w:w="19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w:t>
            </w:r>
          </w:p>
        </w:tc>
        <w:tc>
          <w:tcPr>
            <w:tcW w:w="1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weighted-average assumptions were used in the estimated grant date fair value calculations for options granted as follows:</w:t>
      </w:r>
    </w:p>
    <w:tbl>
      <w:tblPr>
        <w:tblW w:w="5814" w:type="dxa"/>
        <w:jc w:val="left"/>
        <w:tblInd w:w="0" w:type="dxa"/>
        <w:tblLayout w:type="fixed"/>
        <w:tblCellMar>
          <w:top w:w="28" w:type="dxa"/>
          <w:left w:w="28" w:type="dxa"/>
          <w:bottom w:w="28" w:type="dxa"/>
          <w:right w:w="28" w:type="dxa"/>
        </w:tblCellMar>
      </w:tblPr>
      <w:tblGrid>
        <w:gridCol w:w="2186"/>
        <w:gridCol w:w="246"/>
        <w:gridCol w:w="162"/>
        <w:gridCol w:w="518"/>
        <w:gridCol w:w="301"/>
        <w:gridCol w:w="162"/>
        <w:gridCol w:w="162"/>
        <w:gridCol w:w="518"/>
        <w:gridCol w:w="301"/>
        <w:gridCol w:w="162"/>
        <w:gridCol w:w="162"/>
        <w:gridCol w:w="518"/>
        <w:gridCol w:w="416"/>
      </w:tblGrid>
      <w:tr>
        <w:trPr/>
        <w:tc>
          <w:tcPr>
            <w:tcW w:w="21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term (in years)</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volatility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18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Risk-free interest rate</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yield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performance-based stock options with a vesting schedule based entirely on the attainment of both performance and market conditions, stock-based compensation expense is recognized for each pair of performance and market conditions over the longer of the expected achievement period of the performance and market conditions, beginning at the point in time that the relevant performance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condition is considered probable of achievement. The Company records compensation cost for these options under a lattice model considering the market condition and the imputed service period for these awards.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weighted-average grant date fair value of employee stock options granted was $1.75 per share and $0.75 per share during the years ended December 31, 2025 and 2024, respectively. Unrecognized compensation expense related to stock options, which are expected to be recognized over a weighted-average period of 2.1 years and 3.2 years, was $2.2 million and $3.4 million as of December 31, 2025 and 2024, respectively. The aggregate intrinsic value of the options outstanding was $322.9 million and $0.7 million for the years ended December 31, 2025 and 2024, respectively. The aggregate intrinsic value of the options exercisable was $273.1 million and $0.4 million for the years ended December 31, 2025 and 2024, respectively. The Company received cash proceeds of $2.2 million and $0.6 million from the exercise of stock options during the years ended December 31, 2025, and 2024, respectively.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Determination of Fair Value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uses the Black-Scholes option pricing model to determine the fair value of stock options. The determination of the fair value of stock options on the date of grant is affected by the stock price as well as assumptions regarding several complex and subjective variables. These variables include expected stock price volatility over the term of the awards, actual and projected employee stock option exercise behaviors, risk-free interest rates, and expected dividends.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Expected Term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expected term represents the period that the stock-based awards are expected to be outstanding. The option grants qualify to be “plain vanilla”, and the Company used the simplified method to determine the expected term. The simplified method calculates the expected term as the average of the time-to-vesting and contractual life of the option.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Volatility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Since the Company has limited historical data regarding the volatility of its common stock, the expected volatility used is based on volatility of similar entities, referred to as “guideline” companies. In evaluating similarity, the Company considered factors such as industry, stage of life cycle and size.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Risk-Free Interest Rate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risk-free rate is based on U.S. Treasury issues with remaining terms similar to the expected term on the options.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Dividend Yield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has never declared or paid any cash dividends and does not plan to pay cash dividends in the foreseeable future, and, therefore, used an expected dividend yield of zero in the valuation model.</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stock-based compensation expense related to options and RSUs was allocated to research and development and general and administrative expense as follows:</w:t>
      </w:r>
    </w:p>
    <w:tbl>
      <w:tblPr>
        <w:tblW w:w="6328"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571"/>
        <w:gridCol w:w="146"/>
        <w:gridCol w:w="146"/>
        <w:gridCol w:w="211"/>
        <w:gridCol w:w="571"/>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17,840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1,612</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Other Arrangements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2021, the Company implemented a lending program to allow directors and employees to take out loans with the Company to exercise their stock options. The lending program was discontinued in 2022 when AE Industrial purchased Firefly. As such, no new loans were entered into after 2022. The non-recourse loans are accounted for as in-substance stock options under ASC 718 such that the non-recourse loans are not recorded as notes receivable on the consolidated balance sheets, and interest earned on the loans is not recognized in the consolidated statements of net loss and comprehensive loss. Instead, the non-refundable principal and interest payments received are recorded in additional paid-in capital. The in-substance stock options will be considered substantively exercised at the time the loan is repaid. As of December 31, 2025 and 2024, the Company recognized $0.2 million, $0.8 million, respectively,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non-recourse employee loans within additional paid-in capital.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2023 and 2024, the Company entered into three separate arrangements involving stock-based payments to non-employees whereby fully vested preferred stock was issued in exchange for certain goods and previously rendered services. The non-employee stock-based awards were classified as equity instruments, and the related cost was recognized in the same period and manner as if the Company had paid cash for the goods or services. As of December 31, 2024, $1.0 million was capitalized as a prepaid asset. As of December 31, 2025, no non-employee stock-based payments were capitalized as a prepaid asset. Separately, during the year ended 2024, a total of $1.2 million was recognized as a reduction in accounts payable. During the year ended 2025, no stock-based payments were recognized as a reduction in accounts payable.</w:t>
      </w:r>
    </w:p>
    <w:p>
      <w:pPr>
        <w:pStyle w:val="TextBody"/>
        <w:bidi w:val="0"/>
        <w:jc w:val="both"/>
        <w:rPr>
          <w:rFonts w:ascii="Times New Roman" w:hAnsi="Times New Roman"/>
          <w:b/>
          <w:color w:val="000000"/>
          <w:sz w:val="20"/>
        </w:rPr>
      </w:pPr>
      <w:r>
        <w:rPr>
          <w:rFonts w:ascii="Times New Roman" w:hAnsi="Times New Roman"/>
          <w:b/>
          <w:color w:val="000000"/>
          <w:sz w:val="20"/>
        </w:rPr>
        <w:t>15. Income Taxes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components of income before taxes are as follows:</w:t>
      </w:r>
    </w:p>
    <w:tbl>
      <w:tblPr>
        <w:tblW w:w="7503" w:type="dxa"/>
        <w:jc w:val="left"/>
        <w:tblInd w:w="0" w:type="dxa"/>
        <w:tblLayout w:type="fixed"/>
        <w:tblCellMar>
          <w:top w:w="28" w:type="dxa"/>
          <w:left w:w="28" w:type="dxa"/>
          <w:bottom w:w="28" w:type="dxa"/>
          <w:right w:w="28" w:type="dxa"/>
        </w:tblCellMar>
      </w:tblPr>
      <w:tblGrid>
        <w:gridCol w:w="2886"/>
        <w:gridCol w:w="346"/>
        <w:gridCol w:w="211"/>
        <w:gridCol w:w="841"/>
        <w:gridCol w:w="166"/>
        <w:gridCol w:w="146"/>
        <w:gridCol w:w="211"/>
        <w:gridCol w:w="841"/>
        <w:gridCol w:w="166"/>
        <w:gridCol w:w="146"/>
        <w:gridCol w:w="211"/>
        <w:gridCol w:w="841"/>
        <w:gridCol w:w="491"/>
      </w:tblGrid>
      <w:tr>
        <w:trPr/>
        <w:tc>
          <w:tcPr>
            <w:tcW w:w="2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(135,457</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Loss before income tax benefit</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(335,468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(231,133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(135,457</w:t>
            </w:r>
          </w:p>
        </w:tc>
        <w:tc>
          <w:tcPr>
            <w:tcW w:w="4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Income tax expense is comprised of the following:</w:t>
      </w:r>
    </w:p>
    <w:tbl>
      <w:tblPr>
        <w:tblW w:w="5584" w:type="dxa"/>
        <w:jc w:val="left"/>
        <w:tblInd w:w="0" w:type="dxa"/>
        <w:tblLayout w:type="fixed"/>
        <w:tblCellMar>
          <w:top w:w="28" w:type="dxa"/>
          <w:left w:w="28" w:type="dxa"/>
          <w:bottom w:w="28" w:type="dxa"/>
          <w:right w:w="28" w:type="dxa"/>
        </w:tblCellMar>
      </w:tblPr>
      <w:tblGrid>
        <w:gridCol w:w="1981"/>
        <w:gridCol w:w="146"/>
        <w:gridCol w:w="235"/>
        <w:gridCol w:w="820"/>
        <w:gridCol w:w="185"/>
        <w:gridCol w:w="162"/>
        <w:gridCol w:w="235"/>
        <w:gridCol w:w="385"/>
        <w:gridCol w:w="162"/>
        <w:gridCol w:w="162"/>
        <w:gridCol w:w="235"/>
        <w:gridCol w:w="385"/>
        <w:gridCol w:w="4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(37,192</w:t>
            </w:r>
          </w:p>
        </w:tc>
        <w:tc>
          <w:tcPr>
            <w:tcW w:w="1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81"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Income tax benefit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(37,128</w:t>
            </w:r>
          </w:p>
        </w:tc>
        <w:tc>
          <w:tcPr>
            <w:tcW w:w="1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4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4, 2025, Public Law 119-21, commonly referred to as the One Big Beautiful Bill Act (“OBBBA”), was enacted in the U.S. The OBBBA introduces several significant changes, including the permanent extension and modification of certain expiring provisions of the Tax Cuts and Jobs Act. The legislation has multiple effective dates, with certain provisions taking effect in tax year 2025 and others phased in through 2027. There were no material impacts of this legislation to our financial statements for the year ended December 31, 2025; however, management will continue to evaluate the full impact of these legislative changes as more guidance becomes available.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provision for income tax using statutory U.S. federal tax rate of 21% is reconciled to the Company’s effective tax rate as follows, pursuant to the disclosure requirements of ASU 2023-09:</w:t>
      </w:r>
    </w:p>
    <w:tbl>
      <w:tblPr>
        <w:tblW w:w="8650" w:type="dxa"/>
        <w:jc w:val="left"/>
        <w:tblInd w:w="0" w:type="dxa"/>
        <w:tblLayout w:type="fixed"/>
        <w:tblCellMar>
          <w:top w:w="28" w:type="dxa"/>
          <w:left w:w="28" w:type="dxa"/>
          <w:bottom w:w="28" w:type="dxa"/>
          <w:right w:w="28" w:type="dxa"/>
        </w:tblCellMar>
      </w:tblPr>
      <w:tblGrid>
        <w:gridCol w:w="4411"/>
        <w:gridCol w:w="446"/>
        <w:gridCol w:w="351"/>
        <w:gridCol w:w="1227"/>
        <w:gridCol w:w="276"/>
        <w:gridCol w:w="243"/>
        <w:gridCol w:w="243"/>
        <w:gridCol w:w="777"/>
        <w:gridCol w:w="676"/>
      </w:tblGrid>
      <w:tr>
        <w:trPr/>
        <w:tc>
          <w:tcPr>
            <w:tcW w:w="44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 2025</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at statutory rate</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State and local income taxes, net of federal benefit </w:t>
            </w:r>
            <w:r>
              <w:rPr>
                <w:rFonts w:ascii="Times New Roman" w:hAnsi="Times New Roman"/>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derivatives</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Effective income tax rate</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(37,128</w:t>
            </w:r>
          </w:p>
        </w:tc>
        <w:tc>
          <w:tcPr>
            <w:tcW w:w="2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00"/>
        <w:jc w:val="both"/>
        <w:rPr>
          <w:rFonts w:ascii="Times New Roman" w:hAnsi="Times New Roman"/>
          <w:color w:val="000000"/>
          <w:sz w:val="16"/>
        </w:rPr>
      </w:pPr>
      <w:r>
        <w:rPr>
          <w:rFonts w:ascii="Times New Roman" w:hAnsi="Times New Roman"/>
          <w:color w:val="000000"/>
          <w:sz w:val="16"/>
        </w:rPr>
        <w:t>(1) State and local taxes in California and Colorado comprise the majority of this category.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provision for income tax using statutory U.S. federal tax rate of 21.0% is reconciled to the Company’s effective tax rate as follows:</w:t>
      </w:r>
    </w:p>
    <w:tbl>
      <w:tblPr>
        <w:tblW w:w="6875" w:type="dxa"/>
        <w:jc w:val="left"/>
        <w:tblInd w:w="0" w:type="dxa"/>
        <w:tblLayout w:type="fixed"/>
        <w:tblCellMar>
          <w:top w:w="28" w:type="dxa"/>
          <w:left w:w="28" w:type="dxa"/>
          <w:bottom w:w="28" w:type="dxa"/>
          <w:right w:w="28" w:type="dxa"/>
        </w:tblCellMar>
      </w:tblPr>
      <w:tblGrid>
        <w:gridCol w:w="3041"/>
        <w:gridCol w:w="446"/>
        <w:gridCol w:w="217"/>
        <w:gridCol w:w="784"/>
        <w:gridCol w:w="493"/>
        <w:gridCol w:w="217"/>
        <w:gridCol w:w="217"/>
        <w:gridCol w:w="784"/>
        <w:gridCol w:w="676"/>
      </w:tblGrid>
      <w:tr>
        <w:trPr/>
        <w:tc>
          <w:tcPr>
            <w:tcW w:w="30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at statutory rate</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rate change</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Prior year true-ups</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Permanent items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valuation allowance</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Effective income tax rate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Disclosed below is a summary of income taxes paid by jurisdiction pursuant to the disclosure requirements of ASU 2023-09:</w:t>
      </w:r>
    </w:p>
    <w:tbl>
      <w:tblPr>
        <w:tblW w:w="6473" w:type="dxa"/>
        <w:jc w:val="left"/>
        <w:tblInd w:w="0" w:type="dxa"/>
        <w:tblLayout w:type="fixed"/>
        <w:tblCellMar>
          <w:top w:w="28" w:type="dxa"/>
          <w:left w:w="28" w:type="dxa"/>
          <w:bottom w:w="28" w:type="dxa"/>
          <w:right w:w="28" w:type="dxa"/>
        </w:tblCellMar>
      </w:tblPr>
      <w:tblGrid>
        <w:gridCol w:w="2716"/>
        <w:gridCol w:w="146"/>
        <w:gridCol w:w="1178"/>
        <w:gridCol w:w="1942"/>
        <w:gridCol w:w="4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 federal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 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1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income tax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Temporary differences and carryforwards that gave rise to significant portions of deferred taxes were as follows:</w:t>
      </w:r>
    </w:p>
    <w:tbl>
      <w:tblPr>
        <w:tblW w:w="6387" w:type="dxa"/>
        <w:jc w:val="left"/>
        <w:tblInd w:w="0" w:type="dxa"/>
        <w:tblLayout w:type="fixed"/>
        <w:tblCellMar>
          <w:top w:w="28" w:type="dxa"/>
          <w:left w:w="28" w:type="dxa"/>
          <w:bottom w:w="28" w:type="dxa"/>
          <w:right w:w="28" w:type="dxa"/>
        </w:tblCellMar>
      </w:tblPr>
      <w:tblGrid>
        <w:gridCol w:w="2816"/>
        <w:gridCol w:w="346"/>
        <w:gridCol w:w="237"/>
        <w:gridCol w:w="945"/>
        <w:gridCol w:w="186"/>
        <w:gridCol w:w="164"/>
        <w:gridCol w:w="237"/>
        <w:gridCol w:w="945"/>
        <w:gridCol w:w="511"/>
      </w:tblGrid>
      <w:tr>
        <w:trPr/>
        <w:tc>
          <w:tcPr>
            <w:tcW w:w="28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139,203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Credits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research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lease liability</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Accruals and reserves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limitation carryforwards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Gross deferred tax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273,391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202,758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allowance</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(227,752</w:t>
            </w:r>
          </w:p>
        </w:tc>
        <w:tc>
          <w:tcPr>
            <w:tcW w:w="1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(194,556</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deferred tax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45,639</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8,202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deferred tax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(45,639</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(8,202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w:t>
            </w:r>
          </w:p>
        </w:tc>
      </w:tr>
      <w:tr>
        <w:trPr/>
        <w:tc>
          <w:tcPr>
            <w:tcW w:w="28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deferred tax assets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2025, the difference between the Company’s effective tax rate and the statutory rate is primarily driven by the valuation allowance established against U.S. federal and state deferred income tax assets and recognized losses on the Company's conversion of warrants to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losses, management believes that recognition of the deferred tax assets arising from the above-mentioned future tax benefits is currently not likely to be realized and, accordingly, has provided for a full net valuation allowance.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regularly assesses the ability to realize deferred tax assets recorded based upon the weight of available evidence, including such factors as recent earnings history and expected future taxable income on a jurisdiction-by-jurisdiction basis. In the event that the Company changes its determination as to the amount of realizable deferred tax assets, the Company will adjust its valuation allowance with a corresponding impact to the provision for income taxes in the period in which such determination is made. The Company’s management believes that, based on a number of factors, it is more likely than not, that all or some portion of the deferred tax assets will not be realized; and accordingly, for the year ended December 31, 2025, the Company has provided a valuation allowance against the Company’s U.S. net deferred tax assets. The net change in the valuation allowance for the year ended December 31, 2025 was an increase of $33.2 million. The current year valuation allowance change includes a $37.2 million decrease recorded through the income statement as a result of deferred tax liabilities recorded in purchase accounting..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the Company had net operating loss carryforwards for U.S federal income tax purposes of $595.4 million, all of which have an indefinite carryforward period except for $5.2 million that will expire in 2037. Further, the Company has state net operating loss carryforwards of $240.7 million that expire on various dates starting 2039.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Internal Revenue Code of 1986, as amended, imposes restrictions on the utilization of net operating losses in the event of an “ownership change” of a corporation. Accordingly, a company’s ability to use net operating losses may be limited as prescribed under Internal Revenue Code Section 382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the Company had federal research credit carryforwards of approximately $4.8 million. The federal research credit carryforwards will begin to expire in 2037.</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reconciliation of the beginning and ending amount of unrecognized tax benefits is as follows:</w:t>
      </w:r>
    </w:p>
    <w:tbl>
      <w:tblPr>
        <w:tblW w:w="9238" w:type="dxa"/>
        <w:jc w:val="left"/>
        <w:tblInd w:w="0" w:type="dxa"/>
        <w:tblLayout w:type="fixed"/>
        <w:tblCellMar>
          <w:top w:w="28" w:type="dxa"/>
          <w:left w:w="28" w:type="dxa"/>
          <w:bottom w:w="28" w:type="dxa"/>
          <w:right w:w="28" w:type="dxa"/>
        </w:tblCellMar>
      </w:tblPr>
      <w:tblGrid>
        <w:gridCol w:w="5636"/>
        <w:gridCol w:w="346"/>
        <w:gridCol w:w="213"/>
        <w:gridCol w:w="578"/>
        <w:gridCol w:w="148"/>
        <w:gridCol w:w="148"/>
        <w:gridCol w:w="213"/>
        <w:gridCol w:w="578"/>
        <w:gridCol w:w="148"/>
        <w:gridCol w:w="148"/>
        <w:gridCol w:w="213"/>
        <w:gridCol w:w="578"/>
        <w:gridCol w:w="291"/>
      </w:tblGrid>
      <w:tr>
        <w:trPr/>
        <w:tc>
          <w:tcPr>
            <w:tcW w:w="56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based on tax positions related to current year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3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for tax positions of prior years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Reductions as a result of a lapse of applicable statute of limitations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3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Settlements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December 31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2,100</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2,100</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total amount of gross unrecognized tax benefits was $2.1 million as of December 31, 2025, 2024 and 2023. There were no interest and penalties as of December 31, 2025, 2024 and 2023. As of December 31, 2025, $0.2 million of the total unrecognized tax benefits, if recognized, would have an impact on the Company’s effective tax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policy is to recognize interest and penalties accrued on any unrecognized tax benefits as a component of income tax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files income tax returns in the U.S. federal and various state jurisdictions with varying statutes of limitations. The Company is generally no longer subject to tax examinations for years prior to 2022 for federal purposes and 2021 for state purposes, except in certain limited circumstances.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16.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Investments and Debts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transactions occurred between the Company and AE Industrial, which acquired the Company during 2022 and held a 36.90% equity interest in the Company as of December 31, 2025. Even though the Company is part of AE Industrial’s portfolio of companies, it is not a part of AE Industrial’s consolidated tax return and files its tax returns independently.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year ended December 31, 2025, AE Industrial purchased 0.3 million shares of the Series D-1 Preferred Stock for an aggregate purchase price of $5.0 million and received $4.5 million for services related to the issuance of Series D-4 Preferred Stock, including placement, negotiation, and closing activities pursuant to a prior agreement (Refer to </w:t>
      </w:r>
      <w:r>
        <w:rPr>
          <w:rFonts w:ascii="Times New Roman" w:hAnsi="Times New Roman"/>
          <w:b/>
          <w:color w:val="000000"/>
          <w:sz w:val="20"/>
        </w:rPr>
        <w:t>Note 13. Stockholders’ Equity (Deficit) and Redeemable Convertible Preferred Stock</w:t>
      </w:r>
      <w:r>
        <w:rPr>
          <w:rFonts w:ascii="Times New Roman" w:hAnsi="Times New Roman"/>
          <w:color w:val="000000"/>
          <w:sz w:val="20"/>
        </w:rPr>
        <w:t>) for further detail.</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August 8, 2025, in connection with the Company’s IPO, the Company repaid in full the Term Loans under the Financing Agreement, $21.1 million of which was held by AE Industrial. The repayment occurred prior to the contractual maturity of the Term Loans and triggered early extinguishment fees under the Financing Agreement, including specified premium and exit fees totaling $1.8 million payable to AE Industrial (Refer to </w:t>
      </w:r>
      <w:r>
        <w:rPr>
          <w:rFonts w:ascii="Times New Roman" w:hAnsi="Times New Roman"/>
          <w:b/>
          <w:color w:val="000000"/>
          <w:sz w:val="20"/>
        </w:rPr>
        <w:t>Note 11. Notes Payable</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Accounts Payable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entered into an Amended and Restated Consulting Agreement (the “Consulting Agreement”) with AE Industrial Operating Partners, LLC (“AE Operating”), an affiliate of AE Industrial. Under the Consulting Agreement, the Company will pay AE Operating an annual fee of approximately $2.4 million for consulting and advisory services until the earlier of August 8, 2027, or the time AE Industrial beneficially owns less than 10% of the Company’s outstanding common stock. Expenses recorded under this agreement for the year ended December 31, 2025 were $1.0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AE Industrial, G.S. Precision and Redwire Corporation are also related parties of the Company, as these entities are part of AE Industrial’s portfolio and share a common Board of Directors. Belcan, LLC was a related party of the Company until August 31, 2024.</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is a summary of the Company’s related party accounts payable, and related party research and development and selling, general, and administrative expenses:</w:t>
      </w:r>
    </w:p>
    <w:tbl>
      <w:tblPr>
        <w:tblW w:w="4119" w:type="dxa"/>
        <w:jc w:val="left"/>
        <w:tblInd w:w="0" w:type="dxa"/>
        <w:tblLayout w:type="fixed"/>
        <w:tblCellMar>
          <w:top w:w="28" w:type="dxa"/>
          <w:left w:w="28" w:type="dxa"/>
          <w:bottom w:w="28" w:type="dxa"/>
          <w:right w:w="28" w:type="dxa"/>
        </w:tblCellMar>
      </w:tblPr>
      <w:tblGrid>
        <w:gridCol w:w="2031"/>
        <w:gridCol w:w="346"/>
        <w:gridCol w:w="211"/>
        <w:gridCol w:w="421"/>
        <w:gridCol w:w="146"/>
        <w:gridCol w:w="146"/>
        <w:gridCol w:w="211"/>
        <w:gridCol w:w="316"/>
        <w:gridCol w:w="291"/>
      </w:tblGrid>
      <w:tr>
        <w:trPr/>
        <w:tc>
          <w:tcPr>
            <w:tcW w:w="2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Industrial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633" w:type="dxa"/>
        <w:jc w:val="left"/>
        <w:tblInd w:w="0" w:type="dxa"/>
        <w:tblLayout w:type="fixed"/>
        <w:tblCellMar>
          <w:top w:w="28" w:type="dxa"/>
          <w:left w:w="28" w:type="dxa"/>
          <w:bottom w:w="28" w:type="dxa"/>
          <w:right w:w="28" w:type="dxa"/>
        </w:tblCellMar>
      </w:tblPr>
      <w:tblGrid>
        <w:gridCol w:w="2031"/>
        <w:gridCol w:w="346"/>
        <w:gridCol w:w="213"/>
        <w:gridCol w:w="578"/>
        <w:gridCol w:w="148"/>
        <w:gridCol w:w="148"/>
        <w:gridCol w:w="213"/>
        <w:gridCol w:w="578"/>
        <w:gridCol w:w="148"/>
        <w:gridCol w:w="148"/>
        <w:gridCol w:w="213"/>
        <w:gridCol w:w="578"/>
        <w:gridCol w:w="291"/>
      </w:tblGrid>
      <w:tr>
        <w:trPr/>
        <w:tc>
          <w:tcPr>
            <w:tcW w:w="2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Industrial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G.S. Precision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Belcan, LLC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3,727</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3,416</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normal course of business, the Company engages in transactions with certain vendors and customers where AE Industrial maintains a significant ownership interest and/or can exhibit significant influence on the operations of such parties. For the years ended December 31, 2025, 2024, and 2023 transactions with other companies in AE Industrial’s investment portfolio were not material to the Company’s consolidated financial statements.</w:t>
      </w:r>
    </w:p>
    <w:p>
      <w:pPr>
        <w:pStyle w:val="TextBody"/>
        <w:bidi w:val="0"/>
        <w:spacing w:before="200" w:after="283"/>
        <w:jc w:val="both"/>
        <w:rPr>
          <w:rFonts w:ascii="Times New Roman" w:hAnsi="Times New Roman"/>
          <w:sz w:val="20"/>
        </w:rPr>
      </w:pPr>
      <w:r>
        <w:rPr>
          <w:rFonts w:ascii="Times New Roman" w:hAnsi="Times New Roman"/>
          <w:b/>
          <w:color w:val="000000"/>
          <w:sz w:val="20"/>
        </w:rPr>
        <w:t>17. Net Loss Per Share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is computed by dividing net loss attributable to common stockholders by the weighted-average number of common shares outstanding during each period.</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Diluted net loss per share is computed by dividing net loss attributable to common stockholders by the weighted-average number of fully dilutive common shares outstanding for the period using the treasury-stock method, the if-converted method, or two-class method for participating securities, whichever is more dilutive. Potentially dilutive shares are comprised of common stock warrants, RSUs, convertible notes and stock options. For the years ended December 31, 2025, 2024, and 2023 there was no difference in the number of shares used to calculate basic and diluted shares outstanding due to the Company’s net loss and potentially dilutive shares being anti-dilutive. The Company has determined that all series of Preferred Stock are participating securities under the two-class method, however,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holders of the Preferred Stock are not required to fund losses. Dividends have been accreted for the Company’s outstanding shares of Series C, Series D-1 and Series D-3 Preferred Stock (refer to </w:t>
      </w:r>
      <w:r>
        <w:rPr>
          <w:rFonts w:ascii="Times New Roman" w:hAnsi="Times New Roman"/>
          <w:b/>
          <w:color w:val="000000"/>
          <w:sz w:val="20"/>
        </w:rPr>
        <w:t>Note 13. Stockholders’ Equity (Deficit) and Redeemable Convertible Preferred Stock</w:t>
      </w:r>
      <w:r>
        <w:rPr>
          <w:rFonts w:ascii="Times New Roman" w:hAnsi="Times New Roman"/>
          <w:color w:val="000000"/>
          <w:sz w:val="20"/>
        </w:rPr>
        <w:t xml:space="preserve"> for further detail).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6068"/>
        <w:gridCol w:w="146"/>
        <w:gridCol w:w="211"/>
        <w:gridCol w:w="841"/>
        <w:gridCol w:w="166"/>
        <w:gridCol w:w="146"/>
        <w:gridCol w:w="211"/>
        <w:gridCol w:w="841"/>
        <w:gridCol w:w="166"/>
        <w:gridCol w:w="146"/>
        <w:gridCol w:w="211"/>
        <w:gridCol w:w="841"/>
        <w:gridCol w:w="211"/>
      </w:tblGrid>
      <w:tr>
        <w:trPr/>
        <w:tc>
          <w:tcPr>
            <w:tcW w:w="6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(156,271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 summary of the total number of securities excluded from diluted net loss per share that could be potentially dilutive in the future is as follows:</w:t>
      </w:r>
    </w:p>
    <w:tbl>
      <w:tblPr>
        <w:tblW w:w="6883" w:type="dxa"/>
        <w:jc w:val="left"/>
        <w:tblInd w:w="0" w:type="dxa"/>
        <w:tblLayout w:type="fixed"/>
        <w:tblCellMar>
          <w:top w:w="28" w:type="dxa"/>
          <w:left w:w="28" w:type="dxa"/>
          <w:bottom w:w="28" w:type="dxa"/>
          <w:right w:w="28" w:type="dxa"/>
        </w:tblCellMar>
      </w:tblPr>
      <w:tblGrid>
        <w:gridCol w:w="3496"/>
        <w:gridCol w:w="146"/>
        <w:gridCol w:w="146"/>
        <w:gridCol w:w="676"/>
        <w:gridCol w:w="146"/>
        <w:gridCol w:w="146"/>
        <w:gridCol w:w="146"/>
        <w:gridCol w:w="676"/>
        <w:gridCol w:w="146"/>
        <w:gridCol w:w="146"/>
        <w:gridCol w:w="146"/>
        <w:gridCol w:w="67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M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D-1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b/>
          <w:color w:val="000000"/>
          <w:sz w:val="20"/>
        </w:rPr>
        <w:t>18. Segment and Geographical Information</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has determined that it operates in one operating segment and as a result, manages its operations and allocates resources as a single operating segment. The Company’s Chief Operating Decision Maker (“CODM”) is its Chief Executive Officer,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includes the significant expense categories and amounts that are regularly provided to the CODM:</w:t>
      </w:r>
    </w:p>
    <w:tbl>
      <w:tblPr>
        <w:tblW w:w="8853" w:type="dxa"/>
        <w:jc w:val="left"/>
        <w:tblInd w:w="0" w:type="dxa"/>
        <w:tblLayout w:type="fixed"/>
        <w:tblCellMar>
          <w:top w:w="28" w:type="dxa"/>
          <w:left w:w="28" w:type="dxa"/>
          <w:bottom w:w="28" w:type="dxa"/>
          <w:right w:w="28" w:type="dxa"/>
        </w:tblCellMar>
      </w:tblPr>
      <w:tblGrid>
        <w:gridCol w:w="3816"/>
        <w:gridCol w:w="346"/>
        <w:gridCol w:w="211"/>
        <w:gridCol w:w="841"/>
        <w:gridCol w:w="366"/>
        <w:gridCol w:w="346"/>
        <w:gridCol w:w="211"/>
        <w:gridCol w:w="841"/>
        <w:gridCol w:w="166"/>
        <w:gridCol w:w="346"/>
        <w:gridCol w:w="211"/>
        <w:gridCol w:w="841"/>
        <w:gridCol w:w="311"/>
      </w:tblGrid>
      <w:tr>
        <w:trPr/>
        <w:tc>
          <w:tcPr>
            <w:tcW w:w="38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Compensation</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(121,925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Materials and consumables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Contractors and outside services</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contingent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Consolidated 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(298,340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(135,457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(1) Compensation, materials and consumables, contractors and outside services, and depreciation and amortization expenses presented in the above table represent operating expenses, and exclude amounts included in cost of sales.</w:t>
      </w:r>
    </w:p>
    <w:p>
      <w:pPr>
        <w:pStyle w:val="TextBody"/>
        <w:bidi w:val="0"/>
        <w:spacing w:before="0" w:after="200"/>
        <w:jc w:val="both"/>
        <w:rPr>
          <w:rFonts w:ascii="Times New Roman" w:hAnsi="Times New Roman"/>
          <w:sz w:val="20"/>
        </w:rPr>
      </w:pPr>
      <w:r>
        <w:rPr>
          <w:rFonts w:ascii="Times New Roman" w:hAnsi="Times New Roman"/>
          <w:color w:val="000000"/>
          <w:sz w:val="16"/>
        </w:rPr>
        <w:t>(2)</w:t>
      </w:r>
      <w:r>
        <w:rPr>
          <w:rFonts w:ascii="Times New Roman" w:hAnsi="Times New Roman"/>
          <w:color w:val="000000"/>
          <w:sz w:val="20"/>
        </w:rPr>
        <w:t xml:space="preserve"> </w:t>
      </w:r>
      <w:r>
        <w:rPr>
          <w:rFonts w:ascii="Times New Roman" w:hAnsi="Times New Roman"/>
          <w:color w:val="000000"/>
          <w:sz w:val="16"/>
        </w:rPr>
        <w:t>Other segment items included primarily those related to IPO and other transaction costs, building and utilities, professional and consulting services fees, software and hardware expense, and other general corporate expenses and research and development expenses.</w:t>
      </w:r>
    </w:p>
    <w:p>
      <w:pPr>
        <w:pStyle w:val="TextBody"/>
        <w:bidi w:val="0"/>
        <w:jc w:val="both"/>
        <w:rPr>
          <w:rFonts w:ascii="Times New Roman" w:hAnsi="Times New Roman"/>
          <w:sz w:val="20"/>
        </w:rPr>
      </w:pPr>
      <w:r>
        <w:rPr>
          <w:rFonts w:ascii="Times New Roman" w:hAnsi="Times New Roman"/>
          <w:color w:val="000000"/>
          <w:sz w:val="20"/>
        </w:rPr>
        <w:t>The measure of segment assets,</w:t>
      </w:r>
      <w:r>
        <w:rPr>
          <w:rFonts w:ascii="Times New Roman" w:hAnsi="Times New Roman"/>
          <w:color w:val="373535"/>
          <w:sz w:val="20"/>
        </w:rPr>
        <w:t xml:space="preserve"> </w:t>
      </w:r>
      <w:r>
        <w:rPr>
          <w:rFonts w:ascii="Times New Roman" w:hAnsi="Times New Roman"/>
          <w:color w:val="000000"/>
          <w:sz w:val="20"/>
        </w:rPr>
        <w:t>including goodwill, is reported on the consolidated balance sheets as total consolidated assets. Assets provided to the CODM are consistent with those reported on the consolidated balance sheets with particular emphasis on the Company’s available liquidity, including its cash, cash equivalents and restricted cash, and there are no other significant segment assets that would require disclosure or are regularly provided to the CODM.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does not recognize revenue or hold material property and equipment outside of the United States for the years ended December 31, 2025, 2024, and 2023, and as of December 31, 2025 and 2024, respectively.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19. Subsequent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evaluated subsequent events from December 31, 2025 through the date the financial statements were available to be issued and has determined there are no material subsequent events that require disclosure or recognition in the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b/>
          <w:color w:val="000000"/>
          <w:sz w:val="20"/>
        </w:rPr>
      </w:pPr>
      <w:bookmarkStart w:id="22" w:name="item_9_changes_in_and_disagreements"/>
      <w:bookmarkEnd w:id="22"/>
      <w:r>
        <w:rPr>
          <w:rFonts w:ascii="Times New Roman" w:hAnsi="Times New Roman"/>
          <w:b/>
          <w:color w:val="000000"/>
          <w:sz w:val="20"/>
        </w:rPr>
        <w:t>Item 9. Changes in and Disagreements With Accountants on Accounting and Financial Disclosure.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both"/>
        <w:rPr>
          <w:rFonts w:ascii="Times New Roman" w:hAnsi="Times New Roman"/>
          <w:b/>
          <w:color w:val="000000"/>
          <w:sz w:val="20"/>
        </w:rPr>
      </w:pPr>
      <w:bookmarkStart w:id="23" w:name="item_9a_controls_and_procedures"/>
      <w:bookmarkEnd w:id="23"/>
      <w:r>
        <w:rPr>
          <w:rFonts w:ascii="Times New Roman" w:hAnsi="Times New Roman"/>
          <w:b/>
          <w:color w:val="000000"/>
          <w:sz w:val="20"/>
        </w:rPr>
        <w:t>Item 9A. Controls and Procedures.</w:t>
      </w:r>
    </w:p>
    <w:p>
      <w:pPr>
        <w:pStyle w:val="TextBody"/>
        <w:bidi w:val="0"/>
        <w:jc w:val="both"/>
        <w:rPr>
          <w:rFonts w:ascii="Times New Roman" w:hAnsi="Times New Roman"/>
          <w:b/>
          <w:i/>
          <w:color w:val="000000"/>
          <w:sz w:val="20"/>
        </w:rPr>
      </w:pPr>
      <w:r>
        <w:rPr>
          <w:rFonts w:ascii="Times New Roman" w:hAnsi="Times New Roman"/>
          <w:b/>
          <w:i/>
          <w:color w:val="000000"/>
          <w:sz w:val="20"/>
        </w:rPr>
        <w:t>Limitation on Effectiveness of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conducted an evaluation of the effectiveness of the design and operation of our disclosure controls and procedures, as defined in Rules 13a-15(e) and 15d-15(e) under the Exchange Act, as of December 31, 2025. Based on the evaluation of our disclosure controls and procedures, our Chief Executive Officer and Chief Financial Officer concluded that our disclosure controls and procedures were effective at the reasonable assurance level as of December 31,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15(d)-15(f) of the Exchange Act during the quarter ended December 31, 2025 that have materially affected, or are reasonably likely to materially affect, our internal control over financial reporting.</w:t>
      </w:r>
    </w:p>
    <w:p>
      <w:pPr>
        <w:pStyle w:val="TextBody"/>
        <w:bidi w:val="0"/>
        <w:jc w:val="both"/>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because we are an “emerging growth company” as defined under the JOBS Act, our independent registered public accounting firm will not be required to opine on the effectiveness of our internal control over financial reporting pursuant to Section 404 of the Sarbanes-Oxley Act until we are no longer an emerging growth company.</w:t>
      </w:r>
    </w:p>
    <w:p>
      <w:pPr>
        <w:pStyle w:val="TextBody"/>
        <w:bidi w:val="0"/>
        <w:spacing w:before="0" w:after="200"/>
        <w:jc w:val="both"/>
        <w:rPr>
          <w:rFonts w:ascii="Times New Roman" w:hAnsi="Times New Roman"/>
          <w:b/>
          <w:color w:val="000000"/>
          <w:sz w:val="20"/>
        </w:rPr>
      </w:pPr>
      <w:bookmarkStart w:id="24" w:name="item_9b_other_information"/>
      <w:bookmarkEnd w:id="24"/>
      <w:r>
        <w:rPr>
          <w:rFonts w:ascii="Times New Roman" w:hAnsi="Times New Roman"/>
          <w:b/>
          <w:color w:val="000000"/>
          <w:sz w:val="20"/>
        </w:rPr>
        <w:t>Item 9B. Other Information.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Insider Trading Arrangements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December 5, 2025, David Wheeler, our Senior Vice President and General Counsel, adopted a trading arrangement for the sale of securities of our common stock (a “Rule 10b5-1 Trading Plan”) that is intended to satisfy the affirmative defense conditions of Rule 10b5-1(c) under the Exchange Act. Mr. Wheeler’s Rule 10b5-1 Trading Plan, which has a term of one year, provides for the sale of up to 94,361 shares of our common stock in one or more transactions at market or specified limit order prices.</w:t>
      </w:r>
    </w:p>
    <w:p>
      <w:pPr>
        <w:pStyle w:val="TextBody"/>
        <w:bidi w:val="0"/>
        <w:jc w:val="both"/>
        <w:rPr>
          <w:rFonts w:ascii="Times New Roman" w:hAnsi="Times New Roman"/>
          <w:b/>
          <w:color w:val="000000"/>
          <w:sz w:val="20"/>
        </w:rPr>
      </w:pPr>
      <w:bookmarkStart w:id="25" w:name="item_9c_disclosure_regarding_foreign"/>
      <w:bookmarkEnd w:id="25"/>
      <w:r>
        <w:rPr>
          <w:rFonts w:ascii="Times New Roman" w:hAnsi="Times New Roman"/>
          <w:b/>
          <w:color w:val="000000"/>
          <w:sz w:val="20"/>
        </w:rPr>
        <w:t>Item 9C. Disclosure Regarding Foreign Jurisdictions that Prevent Inspections.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00" w:after="200"/>
        <w:jc w:val="both"/>
        <w:rPr>
          <w:rFonts w:ascii="Times New Roman" w:hAnsi="Times New Roman"/>
          <w:b/>
          <w:color w:val="000000"/>
          <w:sz w:val="20"/>
        </w:rPr>
      </w:pPr>
      <w:bookmarkStart w:id="26" w:name="item_10_directors_executive_officers"/>
      <w:bookmarkEnd w:id="26"/>
      <w:r>
        <w:rPr>
          <w:rFonts w:ascii="Times New Roman" w:hAnsi="Times New Roman"/>
          <w:b/>
          <w:color w:val="000000"/>
          <w:sz w:val="20"/>
        </w:rPr>
        <w:t>Item 10. Directors, Executive Officers and Corporate Governance.</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Directors and Executive Officers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sets forth certain information with respect to our executive officers and directors as of March 19, 2026:</w:t>
      </w:r>
    </w:p>
    <w:tbl>
      <w:tblPr>
        <w:tblW w:w="5680" w:type="dxa"/>
        <w:jc w:val="left"/>
        <w:tblInd w:w="0" w:type="dxa"/>
        <w:tblLayout w:type="fixed"/>
        <w:tblCellMar>
          <w:top w:w="28" w:type="dxa"/>
          <w:left w:w="28" w:type="dxa"/>
          <w:bottom w:w="28" w:type="dxa"/>
          <w:right w:w="28" w:type="dxa"/>
        </w:tblCellMar>
      </w:tblPr>
      <w:tblGrid>
        <w:gridCol w:w="1831"/>
        <w:gridCol w:w="146"/>
        <w:gridCol w:w="436"/>
        <w:gridCol w:w="146"/>
        <w:gridCol w:w="312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r>
      <w:tr>
        <w:trPr/>
        <w:tc>
          <w:tcPr>
            <w:tcW w:w="1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Kim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Darren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Ramon Sanchez</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Shea Ferring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r>
      <w:tr>
        <w:trPr/>
        <w:tc>
          <w:tcPr>
            <w:tcW w:w="1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Wheeler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Kirk Konert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r>
      <w:tr>
        <w:trPr/>
        <w:tc>
          <w:tcPr>
            <w:tcW w:w="1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Ryan Boland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Pamela Braden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Emerson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Lusczakoski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McAllister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Weiser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Zurbuchen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Executive Officers</w:t>
      </w:r>
    </w:p>
    <w:p>
      <w:pPr>
        <w:pStyle w:val="TextBody"/>
        <w:bidi w:val="0"/>
        <w:spacing w:before="0" w:after="200"/>
        <w:jc w:val="both"/>
        <w:rPr>
          <w:rFonts w:ascii="Times New Roman" w:hAnsi="Times New Roman"/>
          <w:sz w:val="20"/>
        </w:rPr>
      </w:pPr>
      <w:r>
        <w:rPr>
          <w:rFonts w:ascii="Times New Roman" w:hAnsi="Times New Roman"/>
          <w:b/>
          <w:color w:val="000000"/>
          <w:sz w:val="20"/>
        </w:rPr>
        <w:t>Jason Kim</w:t>
      </w:r>
      <w:r>
        <w:rPr>
          <w:rFonts w:ascii="Times New Roman" w:hAnsi="Times New Roman"/>
          <w:color w:val="000000"/>
          <w:sz w:val="20"/>
        </w:rPr>
        <w:t xml:space="preserve"> has served as our Chief Executive Officer and as a member of our Board of Directors since October 2024. He previously served as Chief Executive Officer of Millennium Space Systems from December 2020 to September 2024 and as Vice President of Strategic Planning from September 2009 to December 2019. Mr. Kim has also held positions with Raytheon and Northrop Grumman. Mr. Kim attended the United States Air Force Academy, where he earned a BS in Electrical Engineering, and served in the United States Air Force from 1999 to 2006. Mr. Kim also earned a MS in Electrical Engineering from the U.S. Air Force Institute of Technology and an MBA from UCLA Anderson School of Management. We believe that Mr. Kim is qualified to serve as a director given his deep industry experience and his insight into our business as our Chief Executive Officer.</w:t>
      </w:r>
    </w:p>
    <w:p>
      <w:pPr>
        <w:pStyle w:val="TextBody"/>
        <w:bidi w:val="0"/>
        <w:spacing w:before="0" w:after="200"/>
        <w:jc w:val="both"/>
        <w:rPr>
          <w:rFonts w:ascii="Times New Roman" w:hAnsi="Times New Roman"/>
          <w:sz w:val="20"/>
        </w:rPr>
      </w:pPr>
      <w:r>
        <w:rPr>
          <w:rFonts w:ascii="Times New Roman" w:hAnsi="Times New Roman"/>
          <w:b/>
          <w:color w:val="000000"/>
          <w:sz w:val="20"/>
        </w:rPr>
        <w:t>Darren Ma</w:t>
      </w:r>
      <w:r>
        <w:rPr>
          <w:rFonts w:ascii="Times New Roman" w:hAnsi="Times New Roman"/>
          <w:color w:val="000000"/>
          <w:sz w:val="20"/>
        </w:rPr>
        <w:t xml:space="preserve"> has served as our Chief Financial Officer since August 2020. Prior to that, Mr. Ma served as Chief Financial Officer and Senior Vice President of Spectra7 Microsystems from November 2017 to July 2020 and as Chief Financial Officer of GigPeak, Inc. from October 2014 to September 2017. Mr. Ma has also previously served as a business unit controller at Semtech (NASDAQ: SMTC) and a finance manager at Intel (NASDAQ: INTC). Mr. Ma received a BS in Managerial Economics from UC Davis and an MBA from the W.P. Carey School of Business at Arizona State University.</w:t>
      </w:r>
    </w:p>
    <w:p>
      <w:pPr>
        <w:pStyle w:val="TextBody"/>
        <w:bidi w:val="0"/>
        <w:spacing w:before="0" w:after="200"/>
        <w:jc w:val="both"/>
        <w:rPr>
          <w:rFonts w:ascii="Times New Roman" w:hAnsi="Times New Roman"/>
          <w:sz w:val="20"/>
        </w:rPr>
      </w:pPr>
      <w:r>
        <w:rPr>
          <w:rFonts w:ascii="Times New Roman" w:hAnsi="Times New Roman"/>
          <w:b/>
          <w:color w:val="000000"/>
          <w:sz w:val="20"/>
        </w:rPr>
        <w:t>Ramon Sanchez</w:t>
      </w:r>
      <w:r>
        <w:rPr>
          <w:rFonts w:ascii="Times New Roman" w:hAnsi="Times New Roman"/>
          <w:color w:val="000000"/>
          <w:sz w:val="20"/>
        </w:rPr>
        <w:t xml:space="preserve"> has served as our Chief Operating Officer since December 2025. Mr. Sanchez joined us after a 25-year tenure at The Boeing Company (NYSE: BA), a global aerospace company, most recently as Senior Director of Operations for Space, Intelligence &amp; Weapons Systems, since April 2022, and prior to that, as Senior Director of Operations for Missile &amp; Weapon Systems and Site Leader in Huntsville, AL, from January 2021 to April 2022, and as Senior Operations Leader, Commercial Crew Transportation, at the Kennedy Space Center, from October 2017 to July 2021. Mr. Sanchez is also a U.S. Army veteran and holds a business degree from The Citadel Military Graduate College in Charleston, South Carolina.</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Shea Ferring </w:t>
      </w:r>
      <w:r>
        <w:rPr>
          <w:rFonts w:ascii="Times New Roman" w:hAnsi="Times New Roman"/>
          <w:color w:val="000000"/>
          <w:sz w:val="20"/>
        </w:rPr>
        <w:t>has served as our Chief Technology Officer since June 2023. Mr. Ferring has been working with us since April 2018 in several roles, including Senior Vice President of Engineering, Senior Vice President of Spacecraft, and Vice President of Mission Assurance. Prior to that, Mr. Ferring was a Co-Founder and Chief Operating Officer of M2S2-Technologies, an engineering services company, from October 2014 to April 2018. Mr. Ferring has a BS in Aerospace Engineering and a Master of Science in Aerospace and Satellite Design, both from Arizona State University.</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David Wheeler </w:t>
      </w:r>
      <w:r>
        <w:rPr>
          <w:rFonts w:ascii="Times New Roman" w:hAnsi="Times New Roman"/>
          <w:color w:val="000000"/>
          <w:sz w:val="20"/>
        </w:rPr>
        <w:t>has served as our General Counsel and a Senior Vice President since June 2022. Prior to that, Mr. Wheeler was in private practice at Squire Patton Boggs, a global law firm, from November 2021 to June 2022. Mr. Wheeler served Division General Counsel and Group Chief Compliance Officer at Signature Aviation plc, from August 2015 to May 2022 and Senior Counsel at GE Aerospace (NYSE: GE) from August 2010 to July 2015. Prior to that, Mr. Wheeler was a Principal at Squire, Sanders &amp; Dempsey LLP (a predecessor to Squire Patton Boggs) from March 2003 to February 2010. Mr. Wheeler holds a BS in Business Administration from the University of Vermont and a JD from the University of Cincinnati College of Law and is a Certified Public Accountant (inactive).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Directors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Class I Directors (terms expiring at the annual meeting to be held in 2026)</w:t>
      </w:r>
    </w:p>
    <w:p>
      <w:pPr>
        <w:pStyle w:val="TextBody"/>
        <w:bidi w:val="0"/>
        <w:spacing w:before="0" w:after="200"/>
        <w:jc w:val="both"/>
        <w:rPr>
          <w:rFonts w:ascii="Times New Roman" w:hAnsi="Times New Roman"/>
          <w:sz w:val="20"/>
        </w:rPr>
      </w:pPr>
      <w:r>
        <w:rPr>
          <w:rFonts w:ascii="Times New Roman" w:hAnsi="Times New Roman"/>
          <w:b/>
          <w:color w:val="000000"/>
          <w:sz w:val="20"/>
        </w:rPr>
        <w:t>Jason Kim</w:t>
      </w:r>
      <w:r>
        <w:rPr>
          <w:rFonts w:ascii="Times New Roman" w:hAnsi="Times New Roman"/>
          <w:color w:val="000000"/>
          <w:sz w:val="20"/>
        </w:rPr>
        <w:t xml:space="preserve"> - see the above section entitled “Executive Officers”. </w:t>
      </w:r>
    </w:p>
    <w:p>
      <w:pPr>
        <w:pStyle w:val="TextBody"/>
        <w:bidi w:val="0"/>
        <w:spacing w:before="0" w:after="200"/>
        <w:jc w:val="both"/>
        <w:rPr>
          <w:rFonts w:ascii="Times New Roman" w:hAnsi="Times New Roman"/>
          <w:sz w:val="20"/>
        </w:rPr>
      </w:pPr>
      <w:r>
        <w:rPr>
          <w:rFonts w:ascii="Times New Roman" w:hAnsi="Times New Roman"/>
          <w:b/>
          <w:color w:val="000000"/>
          <w:sz w:val="20"/>
        </w:rPr>
        <w:t>Marc Weiser</w:t>
      </w:r>
      <w:r>
        <w:rPr>
          <w:rFonts w:ascii="Times New Roman" w:hAnsi="Times New Roman"/>
          <w:color w:val="000000"/>
          <w:sz w:val="20"/>
        </w:rPr>
        <w:t xml:space="preserve"> has served as a member of our Board of Directors since October 2024. Mr. Weiser is the Founder and Managing Director of RPM Ventures, a venture capital firm, where he has been investing since May 2000. Mr. Weiser has served on the board of directors of numerous privately held companies during that time. Mr. Weiser earned a BA in Aerospace Engineering and an MBA from the University of Michigan.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that Mr. Weiser is qualified to serve as a director given his experience leading corporate strategy discussions at the board level and experience with developing and implementing strategies for growth and optimization, including partnerships, mergers and acquisitions, joint ventures, and divestitures.</w:t>
      </w:r>
    </w:p>
    <w:p>
      <w:pPr>
        <w:pStyle w:val="TextBody"/>
        <w:bidi w:val="0"/>
        <w:spacing w:before="0" w:after="200"/>
        <w:jc w:val="both"/>
        <w:rPr>
          <w:rFonts w:ascii="Times New Roman" w:hAnsi="Times New Roman"/>
          <w:sz w:val="20"/>
        </w:rPr>
      </w:pPr>
      <w:r>
        <w:rPr>
          <w:rFonts w:ascii="Times New Roman" w:hAnsi="Times New Roman"/>
          <w:b/>
          <w:color w:val="000000"/>
          <w:sz w:val="20"/>
        </w:rPr>
        <w:t>Kevin McAllister</w:t>
      </w:r>
      <w:r>
        <w:rPr>
          <w:rFonts w:ascii="Times New Roman" w:hAnsi="Times New Roman"/>
          <w:color w:val="000000"/>
          <w:sz w:val="20"/>
        </w:rPr>
        <w:t xml:space="preserve"> has served as a member of our Board of Directors since completion of our IPO on August 8, 2025. Since June 2020, Mr. McAllister has been a Senior Operating Partner and Co-Head of the Portfolio Strategy and Optimization Group at AE Industrial Partners. Mr. McAllister currently serves on the board of directors of Embraer S.A. (NYSE: ERJ). Mr. McAllister previously served as the Chairman of the board of directors of Belcan. Prior to joining AE Industrial in June 2020, Mr. McAllister served as President and Chief Executive Officer of Boeing Commercial Airplanes from December 2016 to October 2019. Prior to that, Mr. McAllister worked at GE Aerospace (NYSE: GE) from 1989 to 2016, where he most recently served as President and Chief Executive Officer of GE Aviation Services from 2014 to 2016 and was previously Vice President and General Manager of Global Sales and Marketing from 2008 to 2014. He also held multiple leadership roles at GE Aviation across Global Customer and Product Support, Overhaul &amp; Component Repair Operations, Lean Six Sigma, and Engineering. Mr. McAllister earned a BS in Metallurgical and Materials Engineering from the University of Pittsburgh.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Mr. McAllister is qualified to serve as a director given his leadership experience in the aerospace industry.</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Class II Directors (terms expiring at the annual meeting to be held in 2027)</w:t>
      </w:r>
    </w:p>
    <w:p>
      <w:pPr>
        <w:pStyle w:val="TextBody"/>
        <w:bidi w:val="0"/>
        <w:spacing w:before="0" w:after="200"/>
        <w:jc w:val="both"/>
        <w:rPr>
          <w:rFonts w:ascii="Times New Roman" w:hAnsi="Times New Roman"/>
          <w:sz w:val="20"/>
        </w:rPr>
      </w:pPr>
      <w:r>
        <w:rPr>
          <w:rFonts w:ascii="Times New Roman" w:hAnsi="Times New Roman"/>
          <w:b/>
          <w:color w:val="000000"/>
          <w:sz w:val="20"/>
        </w:rPr>
        <w:t>Christopher Emerson</w:t>
      </w:r>
      <w:r>
        <w:rPr>
          <w:rFonts w:ascii="Times New Roman" w:hAnsi="Times New Roman"/>
          <w:color w:val="000000"/>
          <w:sz w:val="20"/>
        </w:rPr>
        <w:t xml:space="preserve"> has served as a member of our Board of Directors since September 2022. Since January 2024, Mr. Emerson has been a Senior Partner at AE Industrial Partners and was an Operating Partner from October 2022 to January 2024. Mr. Emerson currently serves as Chairman of the board of ALL.SPACE, Chairman of the board of Spirent Federal Systems, and on the board of directors of Belcan and The Atlas Group. Previously, Mr. Emerson served on the board of directors at Hidden Level Inc. from May 2022 to October 2024 and HawkEye 360 from September 2019 to November 2021. Mr. Emerson served as Chairman of the board of Airbus U.S. Space &amp; Defense, Inc. (OTCMKTS: EADSY) from October 2021 to February 2022, Chairman of the Board and President of Airbus U.S. Space &amp; Defense, Inc. from July 2019 to October 2021, and President of Airbus Helicopters, Inc. from June 2015 to July 2019. From 2003 to 2015, Mr. Emerson served in various roles at Airbus U.S. Space &amp; Defense, Inc., including as Senior Vice President and Chief Financial Officer. Mr. Emerson earned a BAS in International Economics from the University of Alabama.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that Mr. Emerson is qualified to serve as a director given his experience in the aerospace industry and extensive leadership experience.</w:t>
      </w:r>
    </w:p>
    <w:p>
      <w:pPr>
        <w:pStyle w:val="TextBody"/>
        <w:bidi w:val="0"/>
        <w:spacing w:before="0" w:after="200"/>
        <w:jc w:val="both"/>
        <w:rPr>
          <w:rFonts w:ascii="Times New Roman" w:hAnsi="Times New Roman"/>
          <w:sz w:val="20"/>
        </w:rPr>
      </w:pPr>
      <w:r>
        <w:rPr>
          <w:rFonts w:ascii="Times New Roman" w:hAnsi="Times New Roman"/>
          <w:b/>
          <w:color w:val="000000"/>
          <w:sz w:val="20"/>
        </w:rPr>
        <w:t>Jon Lusczakoski</w:t>
      </w:r>
      <w:r>
        <w:rPr>
          <w:rFonts w:ascii="Times New Roman" w:hAnsi="Times New Roman"/>
          <w:color w:val="000000"/>
          <w:sz w:val="20"/>
        </w:rPr>
        <w:t xml:space="preserve"> has served as a member of our Board of Directors since completion of our IPO on August 8, 2025. Since February 2026, Mr. Lusczakoski has been a Partner at AE Industrial Partners and previously was a Principal from August 2024 to February 2026, a Vice President from August 2021 to August 2024, a Senior Associate from October 2020 to August 2021 and an Associate from August 2018 to October 2020. Mr. Lusczakoski currently serves on the board of directors of Calca Solutions and the National Security Space Association. Prior to joining AE Industrial Partners in August 2018, Mr. Lusczakoski was a Lead Engineer in the Program Development group at Williams International from June 2012 to July 2018. Mr. Lusczakoski earned a BS in Mechanical Engineering from Michigan State University and an MBA from the University of Michigan.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Mr. Lusczakoski is qualified to serve as a director given his technical background.</w:t>
      </w:r>
    </w:p>
    <w:p>
      <w:pPr>
        <w:pStyle w:val="TextBody"/>
        <w:bidi w:val="0"/>
        <w:spacing w:before="0" w:after="200"/>
        <w:jc w:val="both"/>
        <w:rPr>
          <w:rFonts w:ascii="Times New Roman" w:hAnsi="Times New Roman"/>
          <w:sz w:val="20"/>
        </w:rPr>
      </w:pPr>
      <w:r>
        <w:rPr>
          <w:rFonts w:ascii="Times New Roman" w:hAnsi="Times New Roman"/>
          <w:b/>
          <w:color w:val="000000"/>
          <w:sz w:val="20"/>
        </w:rPr>
        <w:t>Pamela Braden</w:t>
      </w:r>
      <w:r>
        <w:rPr>
          <w:rFonts w:ascii="Times New Roman" w:hAnsi="Times New Roman"/>
          <w:color w:val="000000"/>
          <w:sz w:val="20"/>
        </w:rPr>
        <w:t xml:space="preserve"> has served as a member of our Board of Directors since completion of our IPO on August 8, 2025. Since February 2022, Ms. Braden has been an Operating Partner at AE Industrial Partners. Ms. Braden currently serves on the board of directors of BigBear.ai (NYSE: BBAI) and REDLattice and previously served on the board of directors of Belcan. Prior to joining AE Industrial Partners, Ms. Braden was the Chief Executive Officer and Founder of the digital engineering services firm Gryphon Technologies from January 1998 to December 2021. Prior to that, Ms. Braden served as an executive at various government sector-focused startups. Ms. Braden earned a BA in Political Science from the University of Akron.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believe Ms. Braden is qualified to serve as a director given her experience in the defense industry and as an executive for complex technology companies.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Class III Directors (terms expiring at the annual meeting to be held in 2028)</w:t>
      </w:r>
    </w:p>
    <w:p>
      <w:pPr>
        <w:pStyle w:val="TextBody"/>
        <w:bidi w:val="0"/>
        <w:spacing w:before="0" w:after="200"/>
        <w:jc w:val="both"/>
        <w:rPr>
          <w:rFonts w:ascii="Times New Roman" w:hAnsi="Times New Roman"/>
          <w:sz w:val="20"/>
        </w:rPr>
      </w:pPr>
      <w:r>
        <w:rPr>
          <w:rFonts w:ascii="Times New Roman" w:hAnsi="Times New Roman"/>
          <w:b/>
          <w:color w:val="000000"/>
          <w:sz w:val="20"/>
        </w:rPr>
        <w:t xml:space="preserve">Kirk Konert </w:t>
      </w:r>
      <w:r>
        <w:rPr>
          <w:rFonts w:ascii="Times New Roman" w:hAnsi="Times New Roman"/>
          <w:color w:val="000000"/>
          <w:sz w:val="20"/>
        </w:rPr>
        <w:t xml:space="preserve">has served as a member of our Board of Directors since March 18, 2022. Since December 2023, Mr. Konert has been a Managing Partner at AE Industrial Partners. Prior to that, Mr. Konert was a Partner at AE Industrial Partners from October 2019 to December 2021, and a Principal from August 2014 to October 2019. Mr. Konert currently serves on the board of directors of BigBear.ai (NYSE: BBAI), Calca Solutions, Redwire (NYSE: RDW), ThayerMahan, and York Space Systems (NYSE: YSS). Previously, Mr. Konert was a Senior Associate at Sun Capital Partners from July 2011 to July 2014 and was an analyst with Wells Fargo Securities’ Industrial Group from June 2009 to June 2011. Mr. Konert earned a BA in Economics at Davidson College.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believe that Mr. Konert is qualified to serve as a director given his leadership and transactional experience. </w:t>
      </w:r>
    </w:p>
    <w:p>
      <w:pPr>
        <w:pStyle w:val="TextBody"/>
        <w:bidi w:val="0"/>
        <w:spacing w:before="0" w:after="200"/>
        <w:jc w:val="both"/>
        <w:rPr>
          <w:rFonts w:ascii="Times New Roman" w:hAnsi="Times New Roman"/>
          <w:sz w:val="20"/>
        </w:rPr>
      </w:pPr>
      <w:r>
        <w:rPr>
          <w:rFonts w:ascii="Times New Roman" w:hAnsi="Times New Roman"/>
          <w:b/>
          <w:color w:val="000000"/>
          <w:sz w:val="20"/>
        </w:rPr>
        <w:t>Ryan Boland</w:t>
      </w:r>
      <w:r>
        <w:rPr>
          <w:rFonts w:ascii="Times New Roman" w:hAnsi="Times New Roman"/>
          <w:color w:val="000000"/>
          <w:sz w:val="20"/>
        </w:rPr>
        <w:t xml:space="preserve"> has served as a member of our Board of Directors since completion of our IPO on August 8, 2025. Since January 2024, Mr. Boland has served as Chief Executive Officer of ElementUSA Minerals and has served on their board of directors since April 2022. Mr. Boland has served on the board of directors of Lulu Snacks, Inc. since January 2025. Mr. Boland has served as the Chief Executive Officer of a private family office since December 2016. Prior to that, Mr. Boland worked at J.P Morgan from July 2005 to December 2016 in various executive roles across the Investment Bank and Private Bank departments, most recently as Executive Director of Global Investments, Private Bank. Mr. Boland earned a BS in Accounting from Villanova University.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Mr. Boland is qualified to serve as a director given his financial expertise and management credentials.</w:t>
      </w:r>
    </w:p>
    <w:p>
      <w:pPr>
        <w:pStyle w:val="TextBody"/>
        <w:bidi w:val="0"/>
        <w:spacing w:before="0" w:after="200"/>
        <w:jc w:val="both"/>
        <w:rPr>
          <w:rFonts w:ascii="Times New Roman" w:hAnsi="Times New Roman"/>
          <w:sz w:val="20"/>
        </w:rPr>
      </w:pPr>
      <w:r>
        <w:rPr>
          <w:rFonts w:ascii="Times New Roman" w:hAnsi="Times New Roman"/>
          <w:b/>
          <w:color w:val="000000"/>
          <w:sz w:val="20"/>
        </w:rPr>
        <w:t>Thomas Zurbuchen</w:t>
      </w:r>
      <w:r>
        <w:rPr>
          <w:rFonts w:ascii="Times New Roman" w:hAnsi="Times New Roman"/>
          <w:color w:val="000000"/>
          <w:sz w:val="20"/>
        </w:rPr>
        <w:t xml:space="preserve"> has served as a member of our Board of Directors since May 2025. Since June 2023, Dr. Zurbuchen has led the ETH Space initiative at ETH Zürich Space, a public university in Germany. Dr. Zurbuchen currently serves as a member of the board of advisors of Voyager Space, as a member of the board of McKinley Inc., and serves on the board of directors of the Schindler Group. Prior to that, Dr. Zurbuchen was Associate Administrator at the National Aeronautics and Space Association Science Mission Directorate from October 2016 to December 2022. Prior to that, from September 2014 to October 2016, Dr. Zurbuchen worked as a Talent Acquisition Specialist at eLab Ventures. From February 1998 to October 2016, Dr. Zurbuchen held various educational leadership positions at the University of Michigan, including as a Research Scientist from January 1998 to September 2003, as the Director of the Center for Entrepreneurship from October 2007 to August 2009, and as a professor from September 2003 to October 2016. Dr. Zurbuchen earned an MS and a PhD in physics from the University of Bern.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believe Dr. Zurbuchen is qualified to serve as a director given his technical background and extensive leadership experience in private and public institutions.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Family Relationships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There are no family relationships between any of our executive officers or directors.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a separately-designated standing Audit Committee. As a newly-public company, we are currently relying on the phase-in exemptions provided under Rule 10A-3 of the Exchange Act and the Nasdaq listing standards for newly-public companies with respect to the composition of our Audit Committee, which requires at (i) least one member satisfy the independence requirements by the listing date; (ii) a majority of members satisfy the independence requirements within 90 days of the effective date of the registration statement; and (iii) all members satisfy the independence requirements within one year of the effective date of the registration statement. The Audit Committee consists of three directors: Ryan Boland (chair of the Audit Committee), Pamela Braden and Kirk Konert. Our Board of Directors has affirmatively determined that Ryan Boland and Pamela Braden satisfy the independence requirements for Audit Committee members under the listing standards of Nasdaq and Rule 10A-3 of the Exchange Act. Ryan Boland qualifies as an “audit committee financial expert” as defined under SEC rules.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Code of Ethics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adopted a Code of Ethics applicable to all of our officers, directors, and employees, including our principal executive officer, principal financial officer, and principal accounting officer. Our Code of Ethics is posted on our website at www.fireflyspace.com on the Corporate Governance page of the Investor Relations section of the website. We intend to disclose future amendments to certain provisions of our Code of Ethics, or waivers of such provisions applicable to any principle executive officer, principal financial officer, principal accounting officer, or other persons performing similar functions on our website.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Insider Trading Policy</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We have adopted an Insider Trading Policy that governs the purchase, sale, and/or </w:t>
      </w:r>
      <w:r>
        <w:rPr>
          <w:rFonts w:ascii="Times New Roman" w:hAnsi="Times New Roman"/>
          <w:i/>
          <w:color w:val="000000"/>
          <w:sz w:val="20"/>
        </w:rPr>
        <w:t>bona fide</w:t>
      </w:r>
      <w:r>
        <w:rPr>
          <w:rFonts w:ascii="Times New Roman" w:hAnsi="Times New Roman"/>
          <w:color w:val="000000"/>
          <w:sz w:val="20"/>
        </w:rPr>
        <w:t xml:space="preserve"> gift of our securities by our directors, officers, employees, and certain other individuals, such as contractors and consultants, that is reasonably designed to promote compliance with insider trading laws, rules, and regulations, and any listing standards applicable to us. A copy of our Insider Trading Policy is filed as Exhibit 19 to this Annual Report on Form 10-K. In addition, it is our policy that any trades by us will comply with applicable law, including laws with respect to insider trading.</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Delinquent Section 16(a) Reports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Section 16(a) of the Exchange Act requires our directors, officers and beneficial owners of 10% or more of shares of our common stock to file certain ownership reports with the SEC. To our knowledge, based on a review of the copies of such reports filed with the SEC, our records, and/or written representation by our directors and executive officers, during 2025, all such required reports were timely filed, except for (i) the Form 4 filed on March 12, 2026 by Darren Ma with respect to the 768 restricted stock units (“RSUs”) granted to him on August 24, 2025, due to administrative error and (ii) the Form 4s filed on November 26, 2025 by each of the following reporting persons with respect to RSUs granted to him on September 24, 2025: Shea Ferring, Remington Wu, Darren Ma, David Wheeler, Jason Kim, and Dan Fermon, due to administrative error.</w:t>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27" w:name="item_11_executive_compensation"/>
      <w:bookmarkEnd w:id="27"/>
      <w:r>
        <w:rPr>
          <w:rFonts w:ascii="Times New Roman" w:hAnsi="Times New Roman"/>
          <w:b/>
          <w:color w:val="000000"/>
          <w:sz w:val="20"/>
        </w:rPr>
        <w:t>Item 11. Executive Compensation.</w:t>
      </w:r>
    </w:p>
    <w:p>
      <w:pPr>
        <w:pStyle w:val="TextBody"/>
        <w:bidi w:val="0"/>
        <w:spacing w:before="200" w:after="200"/>
        <w:jc w:val="both"/>
        <w:rPr>
          <w:rFonts w:ascii="Times New Roman" w:hAnsi="Times New Roman"/>
          <w:color w:val="231F20"/>
          <w:sz w:val="20"/>
        </w:rPr>
      </w:pPr>
      <w:r>
        <w:rPr>
          <w:rFonts w:ascii="Times New Roman" w:hAnsi="Times New Roman"/>
          <w:color w:val="231F20"/>
          <w:sz w:val="20"/>
        </w:rPr>
        <w:t xml:space="preserve">The following section provides compensation information pursuant to the scaled disclosure rules applicable to “emerging growth companies” under the rules of the SEC. As an “emerging growth company,” we are required to provide a Summary Compensation Table and an Outstanding Equity Awards at Fiscal Year End Table, as well as limited narrative disclosures regarding executive compensation for 2025 and 2024.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Named Executive Officers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fiscal year 2025, our named executive officers (“Named Executive Officers”) and their positions were as follows:</w:t>
      </w:r>
    </w:p>
    <w:tbl>
      <w:tblPr>
        <w:tblW w:w="6538" w:type="dxa"/>
        <w:jc w:val="left"/>
        <w:tblInd w:w="0" w:type="dxa"/>
        <w:tblLayout w:type="fixed"/>
        <w:tblCellMar>
          <w:top w:w="28" w:type="dxa"/>
          <w:left w:w="28" w:type="dxa"/>
          <w:bottom w:w="28" w:type="dxa"/>
          <w:right w:w="28" w:type="dxa"/>
        </w:tblCellMar>
      </w:tblPr>
      <w:tblGrid>
        <w:gridCol w:w="1426"/>
        <w:gridCol w:w="146"/>
        <w:gridCol w:w="496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Kim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Darren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Ramon Sanchez</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 (effective as of December 22, 2025)</w:t>
            </w:r>
          </w:p>
        </w:tc>
      </w:tr>
    </w:tbl>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summarizes the compensation awarded to, earned by, or paid to our Named Executive Officers for the fiscal year 2025, as well as the fiscal year 2024, where applicable.</w:t>
      </w:r>
    </w:p>
    <w:tbl>
      <w:tblPr>
        <w:tblW w:w="10205" w:type="dxa"/>
        <w:jc w:val="left"/>
        <w:tblInd w:w="0" w:type="dxa"/>
        <w:tblLayout w:type="fixed"/>
        <w:tblCellMar>
          <w:top w:w="28" w:type="dxa"/>
          <w:left w:w="28" w:type="dxa"/>
          <w:bottom w:w="28" w:type="dxa"/>
          <w:right w:w="28" w:type="dxa"/>
        </w:tblCellMar>
      </w:tblPr>
      <w:tblGrid>
        <w:gridCol w:w="949"/>
        <w:gridCol w:w="146"/>
        <w:gridCol w:w="568"/>
        <w:gridCol w:w="146"/>
        <w:gridCol w:w="146"/>
        <w:gridCol w:w="691"/>
        <w:gridCol w:w="146"/>
        <w:gridCol w:w="691"/>
        <w:gridCol w:w="213"/>
        <w:gridCol w:w="150"/>
        <w:gridCol w:w="946"/>
        <w:gridCol w:w="146"/>
        <w:gridCol w:w="153"/>
        <w:gridCol w:w="866"/>
        <w:gridCol w:w="146"/>
        <w:gridCol w:w="242"/>
        <w:gridCol w:w="1150"/>
        <w:gridCol w:w="146"/>
        <w:gridCol w:w="938"/>
        <w:gridCol w:w="368"/>
        <w:gridCol w:w="146"/>
        <w:gridCol w:w="916"/>
        <w:gridCol w:w="196"/>
      </w:tblGrid>
      <w:tr>
        <w:trPr/>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Bonus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Stock Awards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Option Awards ($)</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Non-Equity Incentive Plan Compensation ($)</w:t>
            </w:r>
            <w:r>
              <w:rPr>
                <w:rFonts w:ascii="Times New Roman" w:hAnsi="Times New Roman"/>
                <w:b/>
                <w:color w:val="000000"/>
                <w:sz w:val="12"/>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All Other Compensation ($)</w:t>
            </w:r>
            <w:r>
              <w:rPr>
                <w:rFonts w:ascii="Times New Roman" w:hAnsi="Times New Roman"/>
                <w:b/>
                <w:color w:val="000000"/>
                <w:sz w:val="12"/>
              </w:rPr>
              <w:t>(4)</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Jason Kim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488,462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36,053,338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1,134,849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42,866</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38,219,515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100,291</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2,244,074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Darren Ma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408,308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252,000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9,048,737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1,613,963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3,433</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11,326,441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6,085</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581,223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Ramon Sanchez</w:t>
            </w:r>
            <w:r>
              <w:rPr>
                <w:rFonts w:ascii="Times New Roman" w:hAnsi="Times New Roman"/>
                <w:color w:val="000000"/>
                <w:sz w:val="12"/>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11,122,197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11,311,909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Operating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(1) Amounts in the “Stock Awards” column reflect the aggregate grant date fair values of restricted stock units (“RSUs”) and for Mr. Sanchez, performance stock units (“PSUs”), as computed in accordance with ASC Topic 718, Compensation-Stock Compensation. Mr. Sanchez’s PSUs are valued based on the probable outcome of the performance conditions applicable to such PSUs as of the date of grant. The assumptions used in calculating the grant date fair value of the RSUs and PSUs reported in the Stock Awards column are set forth in Note 14 “Share Based Compensation” to the consolidated financial statements included in this filing. See the “Equity Incentive Compensation” section below for additional details on the RSUs and PSUs. For additional information on these awards, see the “Outstanding Equity Awards at 2025 Fiscal Year-End Table” below.</w:t>
      </w:r>
    </w:p>
    <w:p>
      <w:pPr>
        <w:pStyle w:val="TextBody"/>
        <w:bidi w:val="0"/>
        <w:spacing w:before="0" w:after="120"/>
        <w:jc w:val="both"/>
        <w:rPr>
          <w:rFonts w:ascii="Times New Roman" w:hAnsi="Times New Roman"/>
          <w:sz w:val="20"/>
        </w:rPr>
      </w:pPr>
      <w:r>
        <w:rPr>
          <w:rFonts w:ascii="Times New Roman" w:hAnsi="Times New Roman"/>
          <w:color w:val="000000"/>
          <w:sz w:val="16"/>
        </w:rPr>
        <w:t>(2) The amounts reported in the “Option Awards” column represent the grant date fair value of the stock options (“Options”) granted to the applicable Named</w:t>
        <w:br/>
        <w:t>Executive Officers during the fiscal years ended December 31, 2024 and December 21, 2025, respectively as computed in accordance with ASC Topic 718, Compensation-Stock Compensation, and for Mr. Kim, a portion of which represents $250,000 of his 2024 annual bonus. The assumptions used in calculating the grant date fair value of the Options reported in the Option Awards column are set forth in Note 14 “Share Based Compensation” to the consolidated financial statements included in this filing. See the “Equity Incentive Compensation” section below for additional details on the Options. For additional information on these awards, see the “Outstanding Equity</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Awards at 2025 Fiscal Year-End Table” below.</w:t>
      </w:r>
    </w:p>
    <w:p>
      <w:pPr>
        <w:pStyle w:val="TextBody"/>
        <w:bidi w:val="0"/>
        <w:spacing w:before="0" w:after="120"/>
        <w:jc w:val="both"/>
        <w:rPr>
          <w:rFonts w:ascii="Times New Roman" w:hAnsi="Times New Roman"/>
          <w:sz w:val="20"/>
        </w:rPr>
      </w:pPr>
      <w:r>
        <w:rPr>
          <w:rFonts w:ascii="Times New Roman" w:hAnsi="Times New Roman"/>
          <w:color w:val="000000"/>
          <w:sz w:val="16"/>
        </w:rPr>
        <w:t>(3) The amounts reported in the “Non-Equity Incentive Plan Compensation” column reflect bonuses paid to the Named Executive Officers under the</w:t>
        <w:br/>
        <w:t>Firefly Aerospace, Inc. Performance-Based, Incentive Compensation Plan with respect to the fiscal years ended December 31, 2024.</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(4) Amounts in the “All Other Compensation” column for the fiscal year ended December 31, 2025 include Company paid life insurance premiums for all of our Named Executive Officers ($222 for Mr. Kim, $186 for Mr. Ma, and $384 for Mr. Sanchez).</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(5) Amounts represent annual bonuses paid to Messrs. Kim and Ma, which were approved by the Compensation Committee in its discretion taking into account the Company's overall performance for the fiscal year 2025.</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(6) Includes discretionary tax gross up payment of $42,644 that the Company paid in connection with Mr. Kim’s relocation reimbursements, which he received in 2024 for relocating to our Cedar Park, Texas location.</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(7) Includes a matching 401(k) contribution (100% of elective deferrals up to a maximum per participant per calendar year equal to 4% of the participant’s eligible compensation), which for Mr. Ma was $3,246 for the fiscal year ended December 31, 2025.</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(8) Mr. Sanchez commenced employment with the Company on December 22, 2025. He was not a named executive officer for the fiscal year 2024. His salary reflects partial year of service.</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(9) Represents the guaranteed annual bonus Mr. Sanchez is entitled to receive for the fiscal year ended December 31, 2025 per the terms of his employment agreement, which will be paid in cash in 2026 at the same time as the Company’s other 2025 bonuses for executives are paid.</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(10) Mr. Sanchez was compensated with a $1,635 cash payment, which was based on an assumed hourly rate, for attending a Company All-Hands meeting on December 19, 2025, prior to the start of his employment.</w:t>
      </w:r>
    </w:p>
    <w:p>
      <w:pPr>
        <w:pStyle w:val="TextBody"/>
        <w:bidi w:val="0"/>
        <w:spacing w:before="80" w:after="200"/>
        <w:jc w:val="both"/>
        <w:rPr>
          <w:rFonts w:ascii="Times New Roman" w:hAnsi="Times New Roman"/>
          <w:b/>
          <w:i/>
          <w:color w:val="000000"/>
          <w:sz w:val="20"/>
        </w:rPr>
      </w:pPr>
      <w:r>
        <w:rPr>
          <w:rFonts w:ascii="Times New Roman" w:hAnsi="Times New Roman"/>
          <w:b/>
          <w:i/>
          <w:color w:val="000000"/>
          <w:sz w:val="20"/>
        </w:rPr>
        <w:t>Narrative Disclosure to Summary Compensation Table</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Employment Agreements</w:t>
      </w:r>
    </w:p>
    <w:p>
      <w:pPr>
        <w:pStyle w:val="TextBody"/>
        <w:bidi w:val="0"/>
        <w:spacing w:before="0" w:after="200"/>
        <w:jc w:val="both"/>
        <w:rPr>
          <w:rFonts w:ascii="Times New Roman" w:hAnsi="Times New Roman"/>
          <w:color w:val="231F20"/>
          <w:sz w:val="20"/>
        </w:rPr>
      </w:pPr>
      <w:r>
        <w:rPr>
          <w:rFonts w:ascii="Times New Roman" w:hAnsi="Times New Roman"/>
          <w:color w:val="231F20"/>
          <w:sz w:val="20"/>
        </w:rPr>
        <w:t xml:space="preserve">Each of our Named Executive Officers is a party to an employment agreement with us. The employment agreements generally provide for each executive’s base salary, target bonus opportunity, certain severance benefits, reimbursement of reasonable business expenses and eligibility to participate in our benefit plans. The material terms of the employment agreements are summarized below. </w:t>
      </w:r>
    </w:p>
    <w:p>
      <w:pPr>
        <w:pStyle w:val="TextBody"/>
        <w:bidi w:val="0"/>
        <w:spacing w:before="0" w:after="200"/>
        <w:jc w:val="both"/>
        <w:rPr>
          <w:rFonts w:ascii="Times New Roman" w:hAnsi="Times New Roman"/>
          <w:color w:val="231F20"/>
          <w:sz w:val="20"/>
        </w:rPr>
      </w:pPr>
      <w:r>
        <w:rPr>
          <w:rFonts w:ascii="Times New Roman" w:hAnsi="Times New Roman"/>
          <w:color w:val="231F20"/>
          <w:sz w:val="20"/>
        </w:rPr>
        <w:t>Each of our Named Executive Officers entered into an Employee Proprietary Information Agreement (the “Proprietary Information Agreement”) with us in connection with their employment, which contain customary confidentiality, non-competition, non-solicitation, non-interference, assignment of inventions and conflict of interest covenants. The employment agreements provide that the period of each restrictive covenant that applies to our Named Executive Officers shall be the longer of the period set forth in the Proprietary Information Agreement or the severance period provided in the Named Executive Officer’s employment agreement.</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Kim Agreement</w:t>
      </w:r>
    </w:p>
    <w:p>
      <w:pPr>
        <w:pStyle w:val="TextBody"/>
        <w:bidi w:val="0"/>
        <w:spacing w:before="0" w:after="200"/>
        <w:jc w:val="both"/>
        <w:rPr>
          <w:rFonts w:ascii="Times New Roman" w:hAnsi="Times New Roman"/>
          <w:color w:val="231F20"/>
          <w:sz w:val="20"/>
        </w:rPr>
      </w:pPr>
      <w:r>
        <w:rPr>
          <w:rFonts w:ascii="Times New Roman" w:hAnsi="Times New Roman"/>
          <w:color w:val="231F20"/>
          <w:sz w:val="20"/>
        </w:rPr>
        <w:t>On August 25, 2024, we entered into an employment agreement with Jason Kim (the “Kim Agreement”) to serve our Chief Executive Officer, effective as of October 1, 2024. The Kim Agreement provides for an annual base salary of $500,000, eligibility for Mr. Kim to earn an annual incentive bonus based on a target bonus opportunity equal to 100% of his base salary, an initial grant of Options and eligibility to receive annual grants of Options, reimbursement for up to $100,000 for costs and expenses incurred by Mr. Kim in connection with his relocation to the vicinity of our Cedar Park, Texas location, reimbursement of up to $2,500 for Mr. Kim’s legal fees incurred in connection with the negotiation of his employment agreement with us, and participation in standard benefit plans. The Kim Agreement also provided for a bonus in the amount of $500,000, $250,000 of which was paid in cash and $250,000 of which was paid in fully vested Options, subject in each case to Mr. Kim's employment through the applicable payment and grant date.</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Ma Agreement</w:t>
      </w:r>
    </w:p>
    <w:p>
      <w:pPr>
        <w:pStyle w:val="TextBody"/>
        <w:bidi w:val="0"/>
        <w:spacing w:before="0" w:after="200"/>
        <w:jc w:val="both"/>
        <w:rPr>
          <w:rFonts w:ascii="Times New Roman" w:hAnsi="Times New Roman"/>
          <w:color w:val="231F20"/>
          <w:sz w:val="20"/>
        </w:rPr>
      </w:pPr>
      <w:r>
        <w:rPr>
          <w:rFonts w:ascii="Times New Roman" w:hAnsi="Times New Roman"/>
          <w:color w:val="231F20"/>
          <w:sz w:val="20"/>
        </w:rPr>
        <w:t>On March 13, 2025, we entered into an employment agreement with Darren Ma (the “Ma Agreement”), updating the terms of his employment with us. The Ma Agreement provides for an annual base salary of $420,000, eligibility for Mr. Ma to earn an annual incentive bonus based on a target bonus opportunity equal to 60% of his base salary, eligibility to receive annual grants of Options, eligibility for reimbursement of up to $2,500 for Mr. Ma’s legal fees incurred in connection with the negotiation of his employment agreement with us, and participation in standard benefit plans.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Sanchez Agreement</w:t>
      </w:r>
    </w:p>
    <w:p>
      <w:pPr>
        <w:pStyle w:val="TextBody"/>
        <w:bidi w:val="0"/>
        <w:spacing w:before="0" w:after="200"/>
        <w:jc w:val="both"/>
        <w:rPr>
          <w:rFonts w:ascii="Times New Roman" w:hAnsi="Times New Roman"/>
          <w:color w:val="231F20"/>
          <w:sz w:val="20"/>
        </w:rPr>
      </w:pPr>
      <w:r>
        <w:rPr>
          <w:rFonts w:ascii="Times New Roman" w:hAnsi="Times New Roman"/>
          <w:color w:val="231F20"/>
          <w:sz w:val="20"/>
        </w:rPr>
        <w:t xml:space="preserve">On December 9, 2025, we entered into an employment agreement with Ramon Sanchez (the “Sanchez Agreement”) to serve as our Chief Operating Officer, effective as of December 22, 2025. The Sanchez Agreement provides for an annual base salary of $425,000 and eligibility for Mr. Sanchez to earn an annual incentive bonus based on a target bonus opportunity equal to 50% of his base salary, reimbursement of up to $2,500 for Mr. Sanchez's legal fees incurred in connection with the negotiation of his employment agreement with us, and participation in standard benefit plans. Additionally, Mr. Sanchez, received a guaranteed $175,000 bonus for the fiscal year ended December 31, 2025, a $42,000 cash sign-on bonus, payable by us within 30 days of Mr. Sanchez's start date, and a relocation allowance of $50,000 which sign-on bonus and relocation allowance are subject to repayment by Mr. Sanchez in the event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231F20"/>
          <w:sz w:val="20"/>
        </w:rPr>
      </w:pPr>
      <w:r>
        <w:rPr>
          <w:rFonts w:ascii="Times New Roman" w:hAnsi="Times New Roman"/>
          <w:color w:val="231F20"/>
          <w:sz w:val="20"/>
        </w:rPr>
        <w:t>the termination of his employment for any reason prior to December 22, 2026.</w:t>
      </w:r>
    </w:p>
    <w:p>
      <w:pPr>
        <w:pStyle w:val="TextBody"/>
        <w:bidi w:val="0"/>
        <w:spacing w:before="0" w:after="200"/>
        <w:jc w:val="both"/>
        <w:rPr>
          <w:rFonts w:ascii="Times New Roman" w:hAnsi="Times New Roman"/>
          <w:color w:val="231F20"/>
          <w:sz w:val="20"/>
        </w:rPr>
      </w:pPr>
      <w:r>
        <w:rPr>
          <w:rFonts w:ascii="Times New Roman" w:hAnsi="Times New Roman"/>
          <w:color w:val="231F20"/>
          <w:sz w:val="20"/>
        </w:rPr>
        <w:t>The Sanchez Agreement further provides that, subject in each case to the terms of our 2025 Omnibus Incentive Plan (the “2025 Plan”) and the associated award agreement, Mr. Sanchez will be granted: (a) RSUs vesting over a three-year period, with one-third of the award vesting on the first anniversary of the grant date and thereafter in equal quarterly installments, and (b) PSUs vesting, if and to the extent certain operational goals and milestones are met during three separate one-year measurement periods, in each case generally subject to Mr. Sanchez's continued employment through the applicable vesting date, except as otherwise set forth in the applicable award agreement.</w:t>
      </w:r>
    </w:p>
    <w:p>
      <w:pPr>
        <w:pStyle w:val="TextBody"/>
        <w:bidi w:val="0"/>
        <w:spacing w:before="0" w:after="200"/>
        <w:jc w:val="both"/>
        <w:rPr>
          <w:rFonts w:ascii="Times New Roman" w:hAnsi="Times New Roman"/>
          <w:b/>
          <w:color w:val="231F20"/>
          <w:sz w:val="20"/>
        </w:rPr>
      </w:pPr>
      <w:r>
        <w:rPr>
          <w:rFonts w:ascii="Times New Roman" w:hAnsi="Times New Roman"/>
          <w:b/>
          <w:color w:val="231F20"/>
          <w:sz w:val="20"/>
        </w:rPr>
        <w:t>Base Salary</w:t>
      </w:r>
    </w:p>
    <w:p>
      <w:pPr>
        <w:pStyle w:val="TextBody"/>
        <w:bidi w:val="0"/>
        <w:spacing w:before="0" w:after="200"/>
        <w:jc w:val="both"/>
        <w:rPr>
          <w:rFonts w:ascii="Times New Roman" w:hAnsi="Times New Roman"/>
          <w:sz w:val="20"/>
        </w:rPr>
      </w:pPr>
      <w:r>
        <w:rPr>
          <w:rFonts w:ascii="Times New Roman" w:hAnsi="Times New Roman"/>
          <w:color w:val="231F20"/>
          <w:sz w:val="20"/>
        </w:rPr>
        <w:t xml:space="preserve">The base salaries of our Named Executive Officers are set forth in their respective employment agreements. Mr. Kim’s base salary is subject to review by our Board </w:t>
      </w:r>
      <w:r>
        <w:rPr>
          <w:rFonts w:ascii="Times New Roman" w:hAnsi="Times New Roman"/>
          <w:color w:val="000000"/>
          <w:sz w:val="20"/>
        </w:rPr>
        <w:t>of Directors</w:t>
      </w:r>
      <w:r>
        <w:rPr>
          <w:rFonts w:ascii="Times New Roman" w:hAnsi="Times New Roman"/>
          <w:color w:val="231F20"/>
          <w:sz w:val="20"/>
        </w:rPr>
        <w:t xml:space="preserve"> for increases, but not decreases, no less frequently than annually. For the fiscal year ended December 31, 2025, Mr. Kim’s base salary was $500,000, Mr. Ma’s base salary was $420,000, and Mr. Sanchez's base salary was $425,000.</w:t>
      </w:r>
    </w:p>
    <w:p>
      <w:pPr>
        <w:pStyle w:val="TextBody"/>
        <w:bidi w:val="0"/>
        <w:spacing w:before="0" w:after="200"/>
        <w:jc w:val="both"/>
        <w:rPr>
          <w:rFonts w:ascii="Times New Roman" w:hAnsi="Times New Roman"/>
          <w:b/>
          <w:color w:val="231F20"/>
          <w:sz w:val="20"/>
        </w:rPr>
      </w:pPr>
      <w:r>
        <w:rPr>
          <w:rFonts w:ascii="Times New Roman" w:hAnsi="Times New Roman"/>
          <w:b/>
          <w:color w:val="231F20"/>
          <w:sz w:val="20"/>
        </w:rPr>
        <w:t>Annual Bonus Plan</w:t>
      </w:r>
    </w:p>
    <w:p>
      <w:pPr>
        <w:pStyle w:val="TextBody"/>
        <w:bidi w:val="0"/>
        <w:spacing w:before="0" w:after="200"/>
        <w:jc w:val="both"/>
        <w:rPr>
          <w:rFonts w:ascii="Times New Roman" w:hAnsi="Times New Roman"/>
          <w:color w:val="231F20"/>
          <w:sz w:val="20"/>
        </w:rPr>
      </w:pPr>
      <w:r>
        <w:rPr>
          <w:rFonts w:ascii="Times New Roman" w:hAnsi="Times New Roman"/>
          <w:color w:val="231F20"/>
          <w:sz w:val="20"/>
        </w:rPr>
        <w:t>We maintain the Firefly Aerospace Inc. Performance-Based, Incentive Compensation Plan (the “Annual Bonus Plan”) which sets the framework for annual performance-based bonuses. For fiscal year 2025, the Compensation Committee (and the Board of Directors, with respect to Mr. Kim) did not pre-establish performance metrics for the year, but rather determined bonuses for Messrs. Kim and Ma at the end of the year based on overall Company and individual performance. Such 2025 annual bonuses were approved to pay out at target. For future years we anticipate that the Compensation Committee will pre-establish metrics under the Annual Bonus Plan for the applicable fiscal year. Mr. Sanchez was awarded a guaranteed bonus of $175,000 for fiscal year 2025, consistent with the term of the Sanchez Agreement.</w:t>
      </w:r>
    </w:p>
    <w:p>
      <w:pPr>
        <w:pStyle w:val="TextBody"/>
        <w:bidi w:val="0"/>
        <w:spacing w:before="0" w:after="200"/>
        <w:jc w:val="both"/>
        <w:rPr>
          <w:rFonts w:ascii="Times New Roman" w:hAnsi="Times New Roman"/>
          <w:b/>
          <w:color w:val="231F20"/>
          <w:sz w:val="20"/>
        </w:rPr>
      </w:pPr>
      <w:r>
        <w:rPr>
          <w:rFonts w:ascii="Times New Roman" w:hAnsi="Times New Roman"/>
          <w:b/>
          <w:color w:val="231F20"/>
          <w:sz w:val="20"/>
        </w:rPr>
        <w:t>Equity Incentive Compensation</w:t>
      </w:r>
    </w:p>
    <w:p>
      <w:pPr>
        <w:pStyle w:val="TextBody"/>
        <w:bidi w:val="0"/>
        <w:spacing w:before="0" w:after="200"/>
        <w:jc w:val="left"/>
        <w:rPr>
          <w:rFonts w:ascii="Times New Roman" w:hAnsi="Times New Roman"/>
          <w:i/>
          <w:color w:val="231F20"/>
          <w:sz w:val="20"/>
        </w:rPr>
      </w:pPr>
      <w:r>
        <w:rPr>
          <w:rFonts w:ascii="Times New Roman" w:hAnsi="Times New Roman"/>
          <w:i/>
          <w:color w:val="231F20"/>
          <w:sz w:val="20"/>
        </w:rPr>
        <w:t>2017 Equity Incentive Plan</w:t>
      </w:r>
    </w:p>
    <w:p>
      <w:pPr>
        <w:pStyle w:val="TextBody"/>
        <w:bidi w:val="0"/>
        <w:spacing w:before="0" w:after="200"/>
        <w:jc w:val="both"/>
        <w:rPr>
          <w:rFonts w:ascii="Times New Roman" w:hAnsi="Times New Roman"/>
          <w:sz w:val="20"/>
        </w:rPr>
      </w:pPr>
      <w:r>
        <w:rPr>
          <w:rFonts w:ascii="Times New Roman" w:hAnsi="Times New Roman"/>
          <w:color w:val="231F20"/>
          <w:sz w:val="20"/>
        </w:rPr>
        <w:t xml:space="preserve">Under the Amended and Restated Firefly Aerospace, Inc. 2017 Plan (the </w:t>
      </w:r>
      <w:r>
        <w:rPr>
          <w:rFonts w:ascii="Times New Roman" w:hAnsi="Times New Roman"/>
          <w:color w:val="000000"/>
          <w:sz w:val="20"/>
        </w:rPr>
        <w:t>“</w:t>
      </w:r>
      <w:r>
        <w:rPr>
          <w:rFonts w:ascii="Times New Roman" w:hAnsi="Times New Roman"/>
          <w:color w:val="231F20"/>
          <w:sz w:val="20"/>
        </w:rPr>
        <w:t>2017 Plan</w:t>
      </w:r>
      <w:r>
        <w:rPr>
          <w:rFonts w:ascii="Times New Roman" w:hAnsi="Times New Roman"/>
          <w:color w:val="000000"/>
          <w:sz w:val="20"/>
        </w:rPr>
        <w:t>”</w:t>
      </w:r>
      <w:r>
        <w:rPr>
          <w:rFonts w:ascii="Times New Roman" w:hAnsi="Times New Roman"/>
          <w:color w:val="231F20"/>
          <w:sz w:val="20"/>
        </w:rPr>
        <w:t xml:space="preserve">), our Board of Directors or a committee thereof had been able to grant awards to our employees, consultants, and directors in the form of non-qualified stock options, incentive stock options, restricted stock awards and RSUs. </w:t>
      </w:r>
    </w:p>
    <w:p>
      <w:pPr>
        <w:pStyle w:val="TextBody"/>
        <w:bidi w:val="0"/>
        <w:spacing w:before="0" w:after="200"/>
        <w:jc w:val="both"/>
        <w:rPr>
          <w:rFonts w:ascii="Times New Roman" w:hAnsi="Times New Roman"/>
          <w:color w:val="231F20"/>
          <w:sz w:val="20"/>
        </w:rPr>
      </w:pPr>
      <w:r>
        <w:rPr>
          <w:rFonts w:ascii="Times New Roman" w:hAnsi="Times New Roman"/>
          <w:color w:val="231F20"/>
          <w:sz w:val="20"/>
        </w:rPr>
        <w:t>Each of Messrs. Kim and Ma received grants of Options in 2024 and 2025 as part of their annual equity and incentive compensation pursuant to the 2017 Plan, the Kim Agreement and applicable stock option agreements. All of these Options fully vested in accordance with their terms in connection with our IPO.</w:t>
      </w:r>
    </w:p>
    <w:p>
      <w:pPr>
        <w:pStyle w:val="TextBody"/>
        <w:bidi w:val="0"/>
        <w:spacing w:before="0" w:after="200"/>
        <w:jc w:val="left"/>
        <w:rPr>
          <w:rFonts w:ascii="Times New Roman" w:hAnsi="Times New Roman"/>
          <w:i/>
          <w:color w:val="231F20"/>
          <w:sz w:val="20"/>
        </w:rPr>
      </w:pPr>
      <w:r>
        <w:rPr>
          <w:rFonts w:ascii="Times New Roman" w:hAnsi="Times New Roman"/>
          <w:i/>
          <w:color w:val="231F20"/>
          <w:sz w:val="20"/>
        </w:rPr>
        <w:t>2025 Omnibus Incentive Plan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Under the 2025 Plan, our employees, consultants and directors and our affiliates performing services for us, including our executive officers, are eligible to receive awards. The 2025 Plan provides for the grant of stock options, stock appreciation rights, restricted stock, RSUs, dividend equivalents, other stock-based awards, other cash-based awards, substitute awards, and performance awards intended to align the interests of participants with those of our stockholders. In 2025, each of our Named Executive Officers received a grant of RSUs and Options and, for Mr. Sanchez, PSUs, under the 2025 Plan. The RSUs vest as follows: (i) one-third on the one-year anniversary of the grant date, and (ii) 1/12 quarterly thereafter (such that the RSUs will be fully vested at the third anniversary of the grant date), subject in each case to the Named Executive Officer's continued employment through the respective vesting date. Mr. Sanchez's PSUs vest when certain operational goals and milestones are met during three separate one-year measurement periods, in each case generally subject to Mr. Sanchez's continued employment through the applicable vesting date, except as otherwise set forth in the applicable award agreement.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Outstanding Equity Awards at 2025 Fiscal Year-End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reflects information regarding outstanding equity-based awards held by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811"/>
        <w:gridCol w:w="146"/>
        <w:gridCol w:w="631"/>
        <w:gridCol w:w="208"/>
        <w:gridCol w:w="1333"/>
        <w:gridCol w:w="146"/>
        <w:gridCol w:w="515"/>
        <w:gridCol w:w="1221"/>
        <w:gridCol w:w="146"/>
        <w:gridCol w:w="155"/>
        <w:gridCol w:w="723"/>
        <w:gridCol w:w="146"/>
        <w:gridCol w:w="314"/>
        <w:gridCol w:w="747"/>
        <w:gridCol w:w="146"/>
        <w:gridCol w:w="146"/>
        <w:gridCol w:w="162"/>
        <w:gridCol w:w="869"/>
        <w:gridCol w:w="146"/>
        <w:gridCol w:w="160"/>
        <w:gridCol w:w="1136"/>
        <w:gridCol w:w="19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5"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Awards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1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Number of Securities Underlying Unexercised Options (#) Exercisable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Number of Securities Underlying Unexercised Options (#) Unexercisable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Option Exercise Price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Market Value of Shares or Units of Stock That Have Not Vested ($)</w:t>
            </w:r>
            <w:r>
              <w:rPr>
                <w:rFonts w:ascii="Times New Roman" w:hAnsi="Times New Roman"/>
                <w:b/>
                <w:color w:val="000000"/>
                <w:sz w:val="13"/>
              </w:rPr>
              <w:t>(3)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Kim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10/24/2024</w:t>
            </w:r>
            <w:r>
              <w:rPr>
                <w:rFonts w:ascii="Times New Roman" w:hAnsi="Times New Roman"/>
                <w:color w:val="000000"/>
                <w:sz w:val="13"/>
              </w:rPr>
              <w:t>(4)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2,240,467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5/6/2025</w:t>
            </w:r>
            <w:r>
              <w:rPr>
                <w:rFonts w:ascii="Times New Roman" w:hAnsi="Times New Roman"/>
                <w:color w:val="000000"/>
                <w:sz w:val="13"/>
              </w:rPr>
              <w:t>(4)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9/24/2025</w:t>
            </w:r>
            <w:r>
              <w:rPr>
                <w:rFonts w:ascii="Times New Roman" w:hAnsi="Times New Roman"/>
                <w:color w:val="000000"/>
                <w:sz w:val="13"/>
              </w:rPr>
              <w:t>(5)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19,884,447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Darren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10/28/2020</w:t>
            </w:r>
            <w:r>
              <w:rPr>
                <w:rFonts w:ascii="Times New Roman" w:hAnsi="Times New Roman"/>
                <w:color w:val="000000"/>
                <w:sz w:val="13"/>
              </w:rPr>
              <w:t>(4)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1/8/2021</w:t>
            </w:r>
            <w:r>
              <w:rPr>
                <w:rFonts w:ascii="Times New Roman" w:hAnsi="Times New Roman"/>
                <w:color w:val="000000"/>
                <w:sz w:val="13"/>
              </w:rPr>
              <w:t>(4)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7/21/2021</w:t>
            </w:r>
            <w:r>
              <w:rPr>
                <w:rFonts w:ascii="Times New Roman" w:hAnsi="Times New Roman"/>
                <w:color w:val="000000"/>
                <w:sz w:val="13"/>
              </w:rPr>
              <w:t>(4)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7/21/2021</w:t>
            </w:r>
            <w:r>
              <w:rPr>
                <w:rFonts w:ascii="Times New Roman" w:hAnsi="Times New Roman"/>
                <w:color w:val="000000"/>
                <w:sz w:val="13"/>
              </w:rPr>
              <w:t>(4)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2/17/2022</w:t>
            </w:r>
            <w:r>
              <w:rPr>
                <w:rFonts w:ascii="Times New Roman" w:hAnsi="Times New Roman"/>
                <w:color w:val="000000"/>
                <w:sz w:val="13"/>
              </w:rPr>
              <w:t>(4)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6/17/2022</w:t>
            </w:r>
            <w:r>
              <w:rPr>
                <w:rFonts w:ascii="Times New Roman" w:hAnsi="Times New Roman"/>
                <w:color w:val="000000"/>
                <w:sz w:val="13"/>
              </w:rPr>
              <w:t>(4)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6/16/2032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6/17/2022</w:t>
            </w:r>
            <w:r>
              <w:rPr>
                <w:rFonts w:ascii="Times New Roman" w:hAnsi="Times New Roman"/>
                <w:color w:val="000000"/>
                <w:sz w:val="13"/>
              </w:rPr>
              <w:t>(4)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6/20/2024</w:t>
            </w:r>
            <w:r>
              <w:rPr>
                <w:rFonts w:ascii="Times New Roman" w:hAnsi="Times New Roman"/>
                <w:color w:val="000000"/>
                <w:sz w:val="13"/>
              </w:rPr>
              <w:t>(4)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5/6/2025</w:t>
            </w:r>
            <w:r>
              <w:rPr>
                <w:rFonts w:ascii="Times New Roman" w:hAnsi="Times New Roman"/>
                <w:color w:val="000000"/>
                <w:sz w:val="13"/>
              </w:rPr>
              <w:t>(4)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8/24/2025</w:t>
            </w:r>
            <w:r>
              <w:rPr>
                <w:rFonts w:ascii="Times New Roman" w:hAnsi="Times New Roman"/>
                <w:color w:val="000000"/>
                <w:sz w:val="13"/>
              </w:rPr>
              <w:t>(6)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9/24/2025</w:t>
            </w:r>
            <w:r>
              <w:rPr>
                <w:rFonts w:ascii="Times New Roman" w:hAnsi="Times New Roman"/>
                <w:color w:val="000000"/>
                <w:sz w:val="13"/>
              </w:rPr>
              <w:t>(5)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4,971,106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Ramon Sanchez</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12/22/2025</w:t>
            </w:r>
            <w:r>
              <w:rPr>
                <w:rFonts w:ascii="Times New Roman" w:hAnsi="Times New Roman"/>
                <w:color w:val="000000"/>
                <w:sz w:val="13"/>
              </w:rPr>
              <w:t>(6)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2,237,000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12/22/2025</w:t>
            </w:r>
            <w:r>
              <w:rPr>
                <w:rFonts w:ascii="Times New Roman" w:hAnsi="Times New Roman"/>
                <w:color w:val="000000"/>
                <w:sz w:val="13"/>
              </w:rPr>
              <w:t>(7)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5,118,994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(1) Amount reflects all previous reverse stock splits effected prior to our IPO.</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(2) This column represents the fair market value of a share of our common stock on the date of the grant, as determined by the administrator of the 2017 Plan.</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(3) This column represents the fair market value of the shares underlying the RSUs or PSUs as of December 31, 2025, based on the closing price of our common stock, as reported on Nasdaq, of $22.37 on December 31, 2025.</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(4) Amount reflects shares of our common stock subject to an Option granted pursuant to the terms of the 2017 Plan and a stock option agreement thereunder. The Options are fully vested.</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(5) The RSUs vest in four installments on each of September 16, 2026, 2027, 2028, and 2029, subject to Messrs. Kim and Ma's, as applicable, continued employment through the respective vesting date.</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(6) The RSUs vest as to (i) one-third on the one-year anniversary of the grant date, and (ii) 1/12 quarterly thereafter (such that the RSUs will be fully vested at the third anniversary of the grant date), subject in each case to continued employment through the respective vesting date.</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(7) PSUs vest when certain operational goals and milestones are met during three separate one-year performance periods, in each case generally subject to Mr. Sanchez's continued employment through the applicable vesting date, except as otherwise set forth in the applicable award agreement.</w:t>
      </w:r>
    </w:p>
    <w:p>
      <w:pPr>
        <w:pStyle w:val="TextBody"/>
        <w:bidi w:val="0"/>
        <w:spacing w:before="80" w:after="200"/>
        <w:jc w:val="both"/>
        <w:rPr>
          <w:rFonts w:ascii="Times New Roman" w:hAnsi="Times New Roman"/>
          <w:b/>
          <w:i/>
          <w:color w:val="000000"/>
          <w:sz w:val="20"/>
        </w:rPr>
      </w:pPr>
      <w:r>
        <w:rPr>
          <w:rFonts w:ascii="Times New Roman" w:hAnsi="Times New Roman"/>
          <w:b/>
          <w:i/>
          <w:color w:val="000000"/>
          <w:sz w:val="20"/>
        </w:rPr>
        <w:t>Additional Narrative Disclosure</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Retirement Plans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currently provide broad-based health and welfare benefits that are available to our full-time employees, including our Named Executive Officers, including health, life, vision, and dental insurance. In addition, we currently make available a retirement plan intended to provide benefits under Section 401(k) of the Code, pursuant to which employees (including our Named Executive Officers) may elect to defer a portion of their compensation on a pre-tax basis and have it contributed to the plan. Pre-tax contributions are allocated to each participant’s individual account and are then invested in selected investment alternatives according to the participants’ directions. We match 100% of elective deferrals up to a maximum per participant per calendar year equal to 4% of the participant’s eligible compensation. Matching contributions to our 401(k) plan are 100% vested. All contributions under our 401(k) plan are subject to certain annual dollar limitations in accordance with applicable laws, which are periodically adjusted for changes in the cost of living. Other than the 401(k) plan, we do not provide any qualified or non-qualified retirement or deferred compensation benefits to our employees, including our Named Executive Officers.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Potential Payments Upon Termination or Change in Control</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Severance Benefits under the Employment Agreements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December 31, 2025, Messrs. Kim and Ma are entitled to certain severance payments and benefits pursuant to their respective employment agreements in the event we terminate him without Cause or he resigns with Good Reason, subject to each of their execution and non-revocation of a general release of claims in favor of us, consisting of the following severance: (i) nine months (for Mr. Ma) or 12 months (for Mr. Kim) of his then-current base salary, (ii) an amount equal to the cost of nine months (for Mr. Ma) or 12 months (for Mr. Kim) of the employee portion of associated COBRA premiums, (iii) a pro-rated Annual Bonus for the year of termination if such termination occurred in the second half of the fiscal year, based on projected actual performance through the date of termination, and (iv) any then-outstanding Options subject to time-based vesting will remain outstanding and have the opportunity to vest for nine months (for Mr. Ma) or 12 months (for Mr. Kim) following such termination of employment. To the extent unpaid as of the date of termination of employment, Mr. Ma will also be entitled to the prior year Annual Bonus. Such severance will be paid in a lump sum no later than 60 days following the applicable termination of employment.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Kim Agreement and the Ma Agreement also provide that, upon a Liquidity Event (which included our IPO) where he is employed, any Options subject solely to time-based vesting shall become fully vested and exercisable, provided, that, any shares issued in respect of such accelerated Options shall be “Restricted Shares.” If he does not elect a method of exercise in connection with such Liquidity Event, he will be deemed to have selected the Net-Exercise method. The clawback on the Restricted Shares generally lapses with respect to 50% of the Restricted Shares on the six-month anniversary of the Liquidity Event, 25% of the Restricted Shares on the nine-month anniversary of the Liquidity Event, and 25% of the Restricted Shares in equal monthly amounts (8.34% per month) at the end of each tenth-, eleventh- and twelfth-month anniversaries of the Liquidity Event. Any Restricted Shares still subject to clawback in the event he terminates his employment other than for Good Reason any time during the 12-month period following the Liquidity Event shall be forfeited. For purposes of the Kim Agreement and the Ma Agreement, “Liquidity Event” means (i) Change of Control (as defined in the 2017 Plan), or (ii) an initial public offering (including via a merger with a special purpose acquisition company or similar). In connection with our IPO, we amended the Kim Agreement and the Ma Agreement to remove the automatic Net-Exercise such that the Options held by Messrs. Kim and Ma remain outstanding and exercisable at any time in accordance with their terms until the expiration date of the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Under the Kim Agreement and the Ma Agreement, “Cause” generally means (i) conduct amounting to fraud against us or any of our subsidiaries or affiliates; (ii) intentional misconduct, repeated refusal to follow our reasonable and lawful directions or material breach of the employment agreement or any document referenced therein, provided we notify the applicable individual of the acts deemed to constitute such intentional misconduct, repeated refusal or material breach in writing and he fails to correct such acts (or begin such action as may be necessary to correct such acts and thereafter fails to diligently pursue the completion thereof) within ten business days after written notice has been given; (iii) violation of our material policies that causes or has demonstrated a substantial likelihood to cause material financial or reputational harm to us; or (iv) conviction or plea of guilty or nolo contendere to a felony (other than one arising from the operation of a motor vehicle or resulting from actions taken (or not taken) by such individual in reasonable, good faith in his capacity as our employee or officer).</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Severance Benefits under the Executive Severance Plan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February 25, 2026, our Compensation Committee adopted and approved the Firefly Aerospace Inc. Executive Severance Plan (the “Severance Plan”). Our Named Executive Officers will be eligible to participate in the Severance Plan, subject to their execution of a participation agreement. Severance and other benefits provided for under the Severance Plan are not intended to duplicate any severance benefits provided under a Named Executive Officer’s employment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Severance Plan would provide the following severance in the event a participant’s employment with the Company is terminated by the Company without cause other than due to death or disability, or in the event of the participant’s resignation for good reason (each, a “Qualifying Termination”), provided that the participant has completed at least one full year of continuous service as of the termination date and subject to the execution and non-revocation of a general release of claims in favor of the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lump sum amount equal to the participant’s annual base salary;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lump sum bonus payment equal to: (i) in the case of Mr. Kim, the target annual bonus in effect for the year of such termination, and (ii) in the case of other Named Executive Officers, a prorated target annual bonus (if the Qualifying Termination occurs prior to or on June 30), or a prorated annual bonus in effect for the year which includes the termination date based on actual performance achieved prior to, and prorated through, the termination date (if the Qualifying Termination occurs after June 30); and</w:t>
      </w:r>
    </w:p>
    <w:p>
      <w:pPr>
        <w:pStyle w:val="TextBody"/>
        <w:bidi w:val="0"/>
        <w:spacing w:before="120" w:after="200"/>
        <w:jc w:val="both"/>
        <w:rPr>
          <w:color w:val="000000"/>
        </w:rPr>
      </w:pPr>
      <w:r>
        <w:rPr>
          <w:color w:val="000000"/>
        </w:rPr>
        <w: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a lump sum amount for the difference between the amount the participant pays to effect and continue healthcare coverage under COBRA and the employee contribution amount (the “COBRA Benefit”) for up to one year.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the participant’s Qualifying Termination occurs during the 24-month period following a Change in Control (as defined in the 2025 Plan) (the “Change in Control Protection Period”) then, subject to the execution and non-revocation of a general release of claims in favor of the Company, a participant would receive the following enhanced severance: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lump sum amount equal to: (i) in the case of Mr. Kim, two times his annual base salary, and (ii) in the case of other Named Executive Officers, one times their annual base salary;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lump sum bonus payment equal to: (i) in the case of Mr. Kim, two times his target annual bonus, and (ii) in the case of other Named Executive Officers, one times their target annual bonus;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lump sum amount equal to the total amount of the COBRA Benefit for: (i) in the case of Mr. Kim, up to two years, and (ii) in the case of other Named Executive Officers, up to one year.</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Severance Plan also provides that if a participant’s employment with the Company terminates due to his retirement, death or disability then, subject to the execution and non-revocation of a general release of claims in favor of the Company, the participant (or his estate, as applicable) will be entitled to receive a lump sum payment equal to (i) the participant’s annual base salary, (ii) a prorated target annual bonus (if the termination date occurs prior to or on June 30) or a prorated annual bonus based on actual performance achieved prior to, and prorated through, the termination date (if the termination date occurs after June 30), and (iii) the COBRA Benefit for one year.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Severance Plan further provides for the acceleration of the vesting of equity awards in the event of a participant’s Qualifying Termination that occurs outside of a Change in Control Protection Period or termination of employment due to retirement, death or disability, with the vesting of time-based RSUs generally accelerating for a one-year period and PSUs continuing to vest, on a prorated basis, based on actual performance. In the event of a participant’s Qualifying Termination that occurs during a Change in Control Protection Period or his death, all then-unvested time-based and performance-based equity awards will immediately vest.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Severance Plan provides for a “best-net” cutback in the event any payment to which the participant is entitled thereunder constitutes a “parachute payment” under Section 280G of the Internal Revenue Code.</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Director Compensation Table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the total compensation to our non-employee directors for the fiscal year ended December 31, 2025. Mr. Kim does not receive additional compensation for serving as a director (see the Summary Compensation Table above for information in relation to his compensation for the fiscal year 2025).</w:t>
      </w:r>
    </w:p>
    <w:tbl>
      <w:tblPr>
        <w:tblW w:w="8307" w:type="dxa"/>
        <w:jc w:val="left"/>
        <w:tblInd w:w="0" w:type="dxa"/>
        <w:tblLayout w:type="fixed"/>
        <w:tblCellMar>
          <w:top w:w="28" w:type="dxa"/>
          <w:left w:w="28" w:type="dxa"/>
          <w:bottom w:w="28" w:type="dxa"/>
          <w:right w:w="28" w:type="dxa"/>
        </w:tblCellMar>
      </w:tblPr>
      <w:tblGrid>
        <w:gridCol w:w="1996"/>
        <w:gridCol w:w="146"/>
        <w:gridCol w:w="437"/>
        <w:gridCol w:w="2338"/>
        <w:gridCol w:w="146"/>
        <w:gridCol w:w="351"/>
        <w:gridCol w:w="1629"/>
        <w:gridCol w:w="146"/>
        <w:gridCol w:w="146"/>
        <w:gridCol w:w="78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Fees Earned or Paid in 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Option Awards ($)</w:t>
            </w:r>
            <w:r>
              <w:rPr>
                <w:rFonts w:ascii="Times New Roman" w:hAnsi="Times New Roman"/>
                <w:b/>
                <w:color w:val="000000"/>
                <w:sz w:val="13"/>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Kirk Konert</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104,946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Marc Weiser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Christopher Emerson</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Thomas Zurbuchen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Pamela Braden</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Kevin McAllister</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Jon Lusczakoski</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Ryan Boland</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Jed McCaleb</w:t>
            </w:r>
            <w:r>
              <w:rPr>
                <w:rFonts w:ascii="Times New Roman" w:hAnsi="Times New Roman"/>
                <w:color w:val="000000"/>
                <w:sz w:val="13"/>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Thomas Markusic</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(1) Messrs. Konert and Weiser were appointed to our Board of Directors in March 2022 and October 2024, respectively, but did not receive any compensation for service prior to our IPO. Fees reported for them reflect partial years of service for the fiscal year 2025.</w:t>
      </w:r>
    </w:p>
    <w:p>
      <w:pPr>
        <w:pStyle w:val="TextBody"/>
        <w:bidi w:val="0"/>
        <w:spacing w:before="0" w:after="120"/>
        <w:jc w:val="both"/>
        <w:rPr>
          <w:rFonts w:ascii="Times New Roman" w:hAnsi="Times New Roman"/>
          <w:sz w:val="20"/>
        </w:rPr>
      </w:pPr>
      <w:r>
        <w:rPr>
          <w:rFonts w:ascii="Times New Roman" w:hAnsi="Times New Roman"/>
          <w:color w:val="000000"/>
          <w:sz w:val="16"/>
        </w:rPr>
        <w:t>(2) Mr. Emerson was appointed to our Board of Directors in September 2022. Fees reported for him reflect compensation of $30,027 (for a partial year of service prior to our IPO) and $39,946 (for a partial year of service following our IPO).</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(3) Dr. Zurbuchen was appointed to our Board of Directors in May 2025. Fees reported for him reflect compensation of $46,762 (for a partial year of service prior to our IPO) and $39,946 (for a partial year of service following our IPO).</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(4) Ms. Braden and Messrs. McAllister, Lusczakoski, and Boland were appointed to our Board of Directors in connection with our IPO in August 2025. Fees reported for them reflect partial years of service.</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(5) Messrs. McCaleb and Markusic resigned from our Board of Directors in connection with our IPO. They did not receive any compensation for their service.</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(6) The amount shown represents the grant date fair value of Options granted under the 2017 Plan as computed in accordance with FASB ASC Topic 718, Compensation-Stock Compensation. The assumptions used in calculating the grant date fair value of the Options are set forth in Note 14 “Share Based Compensation” to the consolidated financial statements included in this filing.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16"/>
        </w:rPr>
      </w:pPr>
      <w:r>
        <w:rPr>
          <w:rFonts w:ascii="Times New Roman" w:hAnsi="Times New Roman"/>
          <w:color w:val="000000"/>
          <w:sz w:val="16"/>
        </w:rPr>
        <w:t>(7) The following table reflects the aggregate number of Options held by each non-employee director at the end of the fiscal year 2025 (those non-employee directors who are not listed in the table did not hold any Options at the end of the fiscal year 2025):</w:t>
      </w:r>
    </w:p>
    <w:tbl>
      <w:tblPr>
        <w:tblW w:w="7238" w:type="dxa"/>
        <w:jc w:val="left"/>
        <w:tblInd w:w="0" w:type="dxa"/>
        <w:tblLayout w:type="fixed"/>
        <w:tblCellMar>
          <w:top w:w="28" w:type="dxa"/>
          <w:left w:w="28" w:type="dxa"/>
          <w:bottom w:w="28" w:type="dxa"/>
          <w:right w:w="28" w:type="dxa"/>
        </w:tblCellMar>
      </w:tblPr>
      <w:tblGrid>
        <w:gridCol w:w="1591"/>
        <w:gridCol w:w="146"/>
        <w:gridCol w:w="797"/>
        <w:gridCol w:w="4513"/>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5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Aggregate Number of Option Awards Outstanding at Fiscal Year End</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Christopher Emerson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15,364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Thomas Zurbuchen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Thomas Markusic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5,008,700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(1) Number of option awards reflects all previous reverse stock splits effected prior to our IPO.</w:t>
      </w:r>
    </w:p>
    <w:p>
      <w:pPr>
        <w:pStyle w:val="TextBody"/>
        <w:bidi w:val="0"/>
        <w:spacing w:before="80" w:after="200"/>
        <w:jc w:val="left"/>
        <w:rPr>
          <w:rFonts w:ascii="Times New Roman" w:hAnsi="Times New Roman"/>
          <w:b/>
          <w:i/>
          <w:color w:val="000000"/>
          <w:sz w:val="20"/>
        </w:rPr>
      </w:pPr>
      <w:r>
        <w:rPr>
          <w:rFonts w:ascii="Times New Roman" w:hAnsi="Times New Roman"/>
          <w:b/>
          <w:i/>
          <w:color w:val="000000"/>
          <w:sz w:val="20"/>
        </w:rPr>
        <w:t>Narrative Disclosure to Director Compensation Table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Prior to our IPO, the fees for certain non-employee directors in 2025 consisted of an annual cash retainer equal to $50,000 (with respect to Mr. Emerson) and $175,000 (with respect to Dr. Zurbuchen). Certain of our directors also received grants of Options, which vest in full on the first anniversary of the applicable vesting commencement date.</w:t>
      </w:r>
    </w:p>
    <w:p>
      <w:pPr>
        <w:pStyle w:val="TextBody"/>
        <w:bidi w:val="0"/>
        <w:jc w:val="left"/>
        <w:rPr>
          <w:rFonts w:ascii="Times New Roman" w:hAnsi="Times New Roman"/>
          <w:b/>
          <w:color w:val="000000"/>
          <w:sz w:val="20"/>
        </w:rPr>
      </w:pPr>
      <w:r>
        <w:rPr>
          <w:rFonts w:ascii="Times New Roman" w:hAnsi="Times New Roman"/>
          <w:b/>
          <w:color w:val="000000"/>
          <w:sz w:val="20"/>
        </w:rPr>
        <w:t>Non-Employee Director Compensation Program</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Following our IPO, we adopted a non-employee director compensation program, whereby each of our non-employee directors receives an annual director fee, currently equal to $100,000, payable in equal quarterly installments, with the Board chair receiving an additional $50,000. Committee chairs also receive additional annual cash retainers as follows: the Audit Committee chair receives $20,000, the Compensation Committee chair receives $15,000 and the Nominating and Corporate Governance Committee chair receives $15,000. In addition, promptly following each annual meeting, each non-employee director will receive a grant of restricted shares of common stock in an aggregate amount of $150,000, calculated based on the closing price of our common stock on the date of the grant, and the restricted shares vest one year from the date of the grant. In addition, each director is reimbursed for out-of-pocket expenses in connection with his or her services.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Clawback Policy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accordance with the requirements of the Dodd-Frank Act, final SEC rules, and applicable listing standards, our Board of Directors adopted a compensation recovery policy (the “Clawback Policy”). The Clawback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or employee deemed to be covered by the policy during the three-year period preceding the date that the restatement was required if such compensation exceeds the amount that such executive officer or employee would have received had the financial results been properly reported.</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Granting of Equity Awards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Because we have no current intention to grant Options (and further, have not done so since our IPO), we do not have a policy or practice regarding option grant timing. Our Board and the Compensation Committee does not take material nonpublic information into account when determining the timing and terms of equity grants. We do not have a policy or practice to time equity grants based on the release of material non-public information.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 of our executive officers serves on the board of directors or compensation committee of another public company that has an executive officer that serves on our Board of Directors or Compensation Committee. No member of our Board of Directors is an executive officer of another public company in which one of our executive officers serves as a member of the board of directors or compensation committee of that company.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28" w:name="item_12_security_ownership"/>
      <w:bookmarkEnd w:id="28"/>
      <w:r>
        <w:rPr>
          <w:rFonts w:ascii="Times New Roman" w:hAnsi="Times New Roman"/>
          <w:b/>
          <w:color w:val="000000"/>
          <w:sz w:val="20"/>
        </w:rPr>
        <w:t>Item 12. Security Ownership of Certain Beneficial Owners and Management and Related Stockholder Matters.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sets forth information regarding our compensation plans as of December 31, 2025 (in thousands, except per share amounts):</w:t>
      </w:r>
    </w:p>
    <w:tbl>
      <w:tblPr>
        <w:tblW w:w="10205" w:type="dxa"/>
        <w:jc w:val="left"/>
        <w:tblInd w:w="0" w:type="dxa"/>
        <w:tblLayout w:type="fixed"/>
        <w:tblCellMar>
          <w:top w:w="28" w:type="dxa"/>
          <w:left w:w="28" w:type="dxa"/>
          <w:bottom w:w="28" w:type="dxa"/>
          <w:right w:w="28" w:type="dxa"/>
        </w:tblCellMar>
      </w:tblPr>
      <w:tblGrid>
        <w:gridCol w:w="1825"/>
        <w:gridCol w:w="146"/>
        <w:gridCol w:w="396"/>
        <w:gridCol w:w="1842"/>
        <w:gridCol w:w="146"/>
        <w:gridCol w:w="788"/>
        <w:gridCol w:w="1744"/>
        <w:gridCol w:w="146"/>
        <w:gridCol w:w="527"/>
        <w:gridCol w:w="2450"/>
        <w:gridCol w:w="195"/>
      </w:tblGrid>
      <w:tr>
        <w:trPr/>
        <w:tc>
          <w:tcPr>
            <w:tcW w:w="1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Category</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to be Issued Upon Exercise of Outstanding Options, Warrants and Rights (a)(1)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 of Outstanding Options, Warrants and Rights (b)(1)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Remaining Available for Future Issuances Under Equity Compensation Plans (excluding securities reflected in column (a)) (c)</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7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2017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2"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44"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50"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1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(1) Represents shares of our common stock available for issuance which include Options, PSUs, and RSUs. PSUs are not taken into account in column (b).</w:t>
      </w:r>
    </w:p>
    <w:p>
      <w:pPr>
        <w:pStyle w:val="TextBody"/>
        <w:bidi w:val="0"/>
        <w:spacing w:before="80" w:after="200"/>
        <w:jc w:val="both"/>
        <w:rPr>
          <w:rFonts w:ascii="Times New Roman" w:hAnsi="Times New Roman"/>
          <w:b/>
          <w:color w:val="000000"/>
          <w:sz w:val="20"/>
        </w:rPr>
      </w:pPr>
      <w:r>
        <w:rPr>
          <w:rFonts w:ascii="Times New Roman" w:hAnsi="Times New Roman"/>
          <w:b/>
          <w:color w:val="000000"/>
          <w:sz w:val="20"/>
        </w:rPr>
        <w:t>Security Ownership of Certain Beneficial Owners and Management</w:t>
      </w:r>
    </w:p>
    <w:p>
      <w:pPr>
        <w:pStyle w:val="TextBody"/>
        <w:bidi w:val="0"/>
        <w:spacing w:before="0" w:after="240"/>
        <w:jc w:val="both"/>
        <w:rPr>
          <w:rFonts w:ascii="Times New Roman" w:hAnsi="Times New Roman"/>
          <w:sz w:val="20"/>
        </w:rPr>
      </w:pPr>
      <w:r>
        <w:rPr>
          <w:rFonts w:ascii="Times New Roman" w:hAnsi="Times New Roman"/>
          <w:color w:val="000000"/>
          <w:sz w:val="20"/>
        </w:rPr>
        <w:t>The following table sets forth the beneficial ownership of our common stock as of February 28, 2026 for</w:t>
      </w:r>
      <w:r>
        <w:rPr>
          <w:rFonts w:ascii="Times New Roman" w:hAnsi="Times New Roman"/>
          <w:color w:val="231F20"/>
          <w:sz w:val="20"/>
        </w:rPr>
        <w:t xml:space="preserve"> the following individuals or groups: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directors and executive officers as a group;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person, or group of affiliated persons, who is known by us to beneficially own more than 5%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percentage ownership information shown in the table prior to this offering is based upon 159,859,606 shares of our common stock outstanding as of February 28, 2026. We have determined beneficial ownership in accordance with the rules of the SEC. These rules generally attribute beneficial ownership of securities to persons who possess sole or shared voting power or investment power with respect to those securities, or have the right to acquire such powers within 60 days. Under these rules, more than one person may be deemed beneficial owner of the same securities, and a person may be deemed to be a beneficial owner of securities as to which such person has no economic interest. In addition, the rules include shares of our common stock issuable pursuant to the exercise of stock options or warrants that are either immediately exercisable or exercisable on or before April 29, 2026, which is 60 days after February 28, 2026.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Except as otherwise noted below, the address for persons listed in the table is c/o Firefly Aerospace, 1320 Arrow Point Drive #109, Cedar Park, TX 78613.</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501" w:type="dxa"/>
        <w:jc w:val="left"/>
        <w:tblInd w:w="0" w:type="dxa"/>
        <w:tblLayout w:type="fixed"/>
        <w:tblCellMar>
          <w:top w:w="28" w:type="dxa"/>
          <w:left w:w="28" w:type="dxa"/>
          <w:bottom w:w="28" w:type="dxa"/>
          <w:right w:w="28" w:type="dxa"/>
        </w:tblCellMar>
      </w:tblPr>
      <w:tblGrid>
        <w:gridCol w:w="4906"/>
        <w:gridCol w:w="146"/>
        <w:gridCol w:w="381"/>
        <w:gridCol w:w="2709"/>
        <w:gridCol w:w="146"/>
        <w:gridCol w:w="146"/>
        <w:gridCol w:w="179"/>
        <w:gridCol w:w="572"/>
        <w:gridCol w:w="316"/>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Jason Kim</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2,872,207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Darren Ma</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Ramon Sanchez</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Kirk Konert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Weiser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4,045,252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Christopher Emerson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Thomas Zurbuchen</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Pamela Braden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McAllister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Lusczakoski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Ryan Boland</w:t>
            </w:r>
            <w:r>
              <w:rPr>
                <w:rFonts w:ascii="Times New Roman" w:hAnsi="Times New Roman"/>
                <w:color w:val="000000"/>
                <w:sz w:val="13"/>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2,870,155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and executive officers as a group (13 individuals)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or Greater Stockholders: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9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AE Industrial Partners</w:t>
            </w:r>
            <w:r>
              <w:rPr>
                <w:rFonts w:ascii="Times New Roman" w:hAnsi="Times New Roman"/>
                <w:color w:val="000000"/>
                <w:sz w:val="13"/>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58,805,752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Astera Institute</w:t>
            </w:r>
            <w:r>
              <w:rPr>
                <w:rFonts w:ascii="Times New Roman" w:hAnsi="Times New Roman"/>
                <w:color w:val="000000"/>
                <w:sz w:val="13"/>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13,081,389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Thomas Markusic</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12,487,089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 Represents beneficial ownership of less than 1%.</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(1) Consists of shares of common stock issuable pursuant to options held directly by Mr. Kim.</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(2) Consists of (i) 1,424,784 shares of common stock issuable pursuant to options held directly by Mr. Ma and (ii) 11,324 shares of common stock held directly by Mr. Ma.</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(3) Consists of shares of common stock issuable pursuant to options held directly by Mr. Emerson.</w:t>
      </w:r>
    </w:p>
    <w:p>
      <w:pPr>
        <w:pStyle w:val="TextBody"/>
        <w:bidi w:val="0"/>
        <w:spacing w:before="0" w:after="120"/>
        <w:jc w:val="both"/>
        <w:rPr>
          <w:rFonts w:ascii="Times New Roman" w:hAnsi="Times New Roman"/>
          <w:sz w:val="20"/>
        </w:rPr>
      </w:pPr>
      <w:r>
        <w:rPr>
          <w:rFonts w:ascii="Times New Roman" w:hAnsi="Times New Roman"/>
          <w:color w:val="000000"/>
          <w:sz w:val="16"/>
        </w:rPr>
        <w:t>(4) Consists of (i) 6,146 shares of common stock issuable pursuant to options held directly by Dr. Zurbuchen and (ii) 800 shares of common stock held directly by Dr. Zurbuchen.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(5) Consists of shares of common stock held by entities beneficially owned by Mr. Boland.</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(6) Consists of (i) 38,215,447 shares of common stock held by Glow NS Holdings, LLC, (ii) 4,695,184 shares of common stock held by Glow B Holdings, LLC, (iii) 7,924,721 shares of common stock held by Glow C Holdings, LLC, (iv) 7,217,573 shares of common stock held by Glow D Holdings, LLC, (v) 652,502 shares of common stock held by AE Co-Investment Partners Fund III-F, LP, and (vi) 100,320 shares of common stock issuable upon the exercise of warrants held by AE Industrial Partners Structured Solutions I, LP.</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(7) Glow NS Holdings, LLC is controlled by Glow NS Intermediate Holdings, LLC, its sole member. Glow B Holdings, LLC and Glow NS Intermediate Holdings LLC are controlled by Glow Aggregator, LLC as each entity’s sole member. Glow Aggregator, LLC is controlled by AE Industrial Partners Fund II, L.P. as managing member. AE Industrial Partners Fund II, L.P. is controlled by AE Industrial Partners Fund II GP, LP (“AE Fund II GP”), its general partner. Glow C Holdings, LLC, and Glow D Holdings, LLC are controlled by AE Industrial Partners Fund III, LP. as managing member. AE Co-Investment Partners Fund III-F, LP and AE Industrial Partners Fund III, LP. are controlled by AE Industrial Partners Fund III GP, LP (“AE Fund III GP”), as each entity’s general partner. AE Industrial Partners Structured Solutions I, LP is controlled by AE Industrial Partners Structured Solutions I GP, LP (“AE Solutions GP”), its general partner. AE Fund II GP, AE Fund III GP, and AE Solutions GP are each managed by each entity’s respective general partner, AeroEquity GP, LLC. AeroEquity GP, LLC is controlled by its managing members, Michael Greene and David Rowe. Messrs. Greene and Rowe make all voting and investment decisions with respect to the securities held by AE Industrial Partners. Each of the entities and individuals named above disclaims beneficial ownership of the securities held by AE Industrial Partners, except to the extent of its pecuniary interest therein. The business address of each of the foregoing entities and persons is 6700 Broken Sound Pkwy NW, Boca Raton, FL 33487.</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(8) Based on the Schedule 13G filed by Astera Institute and Jed McCaleb on November 10, 2025. The business address of each of the foregoing persons is 1351 Ocean Ave, Emeryville, CA 94608.</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(9) Includes 5,008,700 shares of common stock issuable pursuant to an option held directly by Mr. Markusic.</w:t>
      </w:r>
    </w:p>
    <w:p>
      <w:pPr>
        <w:pStyle w:val="TextBody"/>
        <w:bidi w:val="0"/>
        <w:spacing w:before="0" w:after="200"/>
        <w:jc w:val="both"/>
        <w:rPr>
          <w:rFonts w:ascii="Times New Roman" w:hAnsi="Times New Roman"/>
          <w:b/>
          <w:color w:val="000000"/>
          <w:sz w:val="20"/>
        </w:rPr>
      </w:pPr>
      <w:bookmarkStart w:id="29" w:name="item_13_certain_relationships"/>
      <w:bookmarkEnd w:id="29"/>
      <w:r>
        <w:rPr>
          <w:rFonts w:ascii="Times New Roman" w:hAnsi="Times New Roman"/>
          <w:b/>
          <w:color w:val="000000"/>
          <w:sz w:val="20"/>
        </w:rPr>
        <w:t>Item 13. Certain Relationships and Related Transactions, and Director Independence.</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Related Person Transactions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adopted formal written procedures for the review, approval, or ratification of transactions with related persons, or the Related Persons Transaction Policy. The Related Persons Transaction Policy provides that the Audit Committee of our Board of Directors is charged with reviewing for approval or ratification all transactions with “related persons” (as defined in paragraph (a) of Item 404 of Regulation S-K) that are brought to the Audit Committee’s attention. This policy took effect on August 8, 2025 upon the effectiveness of our certificate of incorporation in connection with our IPO. </w:t>
      </w:r>
    </w:p>
    <w:p>
      <w:pPr>
        <w:pStyle w:val="TextBody"/>
        <w:bidi w:val="0"/>
        <w:spacing w:before="0" w:after="200"/>
        <w:jc w:val="both"/>
        <w:rPr>
          <w:rFonts w:ascii="Times New Roman" w:hAnsi="Times New Roman"/>
          <w:sz w:val="20"/>
        </w:rPr>
      </w:pPr>
      <w:r>
        <w:rPr>
          <w:rFonts w:ascii="Times New Roman" w:hAnsi="Times New Roman"/>
          <w:b/>
          <w:color w:val="000000"/>
          <w:sz w:val="20"/>
        </w:rPr>
        <w:t>Related Person Transactions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Other than compensation arrangements for our directors and Named Executive Officers, the below is a description of each transaction since January 1, 2025, to which we were a participant or will be a participant, in which: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color w:val="000000"/>
        </w:rPr>
      </w:pPr>
      <w:r>
        <w:rPr>
          <w:color w:val="000000"/>
        </w:rPr>
        <w: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amounts involved exceeded or will exceed $120,000;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of our directors, executive officers, or holders of more than 5% of our capital stock, or any member of the immediate family of, or person sharing the household with, the foregoing persons, had or will have a direct or indirect material interest.</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Directed Share Program</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connection with our initial public offering, the underwriters were instructed to reserve up to 5% of the shares of common stock, at the initial public offering price, to certain individuals associated with us and AE Industrial Partners. Among the participants in the directed share program were directors Kirk Konert and Pamela Braden, who purchased 3,333 and 8,888 shares of common stock respectively, for an aggregate purchase price of $149,985 and $399,960 respectively.</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Series D Preferred Stock Financing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During the year ended December 31, 2025, we sold an aggregate of 10.4 million shares of our Series D-1 Preferred Stock at a purchase price of $16.9213 per share for an aggregate purchase price of $176 million, 550 thousand shares of our Series D-3 Preferred Stock at a purchase price of $18.1504 per share for an aggregate purchase price of $10 million, and 2.8 million shares of our Series D-4 Preferred Stock at a purchase price of $20.8896 per share for an aggregate purchase price of $58.7 million.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summarizes purchases of our Series D-1 Preferred Stock by entities affiliated with AE Industrial Partners or directors Ryan Boland or Marc Weiser:</w:t>
      </w:r>
    </w:p>
    <w:tbl>
      <w:tblPr>
        <w:tblW w:w="10205" w:type="dxa"/>
        <w:jc w:val="left"/>
        <w:tblInd w:w="0" w:type="dxa"/>
        <w:tblLayout w:type="fixed"/>
        <w:tblCellMar>
          <w:top w:w="28" w:type="dxa"/>
          <w:left w:w="28" w:type="dxa"/>
          <w:bottom w:w="28" w:type="dxa"/>
          <w:right w:w="28" w:type="dxa"/>
        </w:tblCellMar>
      </w:tblPr>
      <w:tblGrid>
        <w:gridCol w:w="1582"/>
        <w:gridCol w:w="146"/>
        <w:gridCol w:w="3848"/>
        <w:gridCol w:w="385"/>
        <w:gridCol w:w="2072"/>
        <w:gridCol w:w="146"/>
        <w:gridCol w:w="146"/>
        <w:gridCol w:w="284"/>
        <w:gridCol w:w="1401"/>
        <w:gridCol w:w="195"/>
      </w:tblGrid>
      <w:tr>
        <w:trPr/>
        <w:tc>
          <w:tcPr>
            <w:tcW w:w="1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Affiliated With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w:t>
            </w:r>
          </w:p>
        </w:tc>
        <w:tc>
          <w:tcPr>
            <w:tcW w:w="2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of Series D-1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Purchase Price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 Industrial Partners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 Co-Investment Partners Fund III-F, LP (January 31, 2025)</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Ryan Boland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Mars Technology Holdings LLC (January 31, 2025)</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Ryan Boland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8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Mars Technology Holdings LLC (February 21, 2025)</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2,850,000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Weiser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BGW Ventures IV, LP (February 27, 2025)</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16,868,691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March 2025, the RPM call option, which granted one of its investors of the Series D-1 Preferred Stock, who is an entity affiliated with Marc Weiser, an option but not an obligation to purchase up to 1.8 million shares of Series D-1 Preferred Stock, was terminated.</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Registration Rights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connection with the completion of our IPO, we entered into a Registration Rights Agreement with certain holders of our common stock, including the Sponsor Investors (as defined in the Registration Rights Agreement), pursuant to which, among other things, certain holders of our common stock are entitled to rights with respect to the registration of their shares described below. The registration of shares of our common stock pursuant to the exercise of registration rights enables holders to sell these shares without restriction under the Securities Act when the registration statement is declared effective. With the exception of underwriting discounts, commissions, and certain other expenses, we will pay all expenses related to any demand or piggyback registration described below, subject to reasonable fees and disbursements of one counsel for the selling holders.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registration rights described below will expire upon the earliest to occur of: (i) three years after the completion of our IPO or (ii) as to a given holder of registration rights, the date after the completion of our IPO when such holder of registration rights can sell all of such holder’s registrable securities during any three-month period pursuant to Rule 144 promulgated under the Securities Act or upon such holder becoming subject to certain sanctions.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Demand Registration Rights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holders of registrable securities are entitled to certain demand registration rights. At any time after we receive a request (i) from the Sponsor Investors with respect to outstanding registrable securities of such holder with an anticipated aggregate offering price, net of selling expenses, of at least $15 million or (ii) 270 days following the effective date of the registration statement, Astera (as defined in the Registration Rights Agreement) requests that we prepare and file a registration statement on Form S-1 under the Securities Act covering the registration of the registrable securities, so long as the anticipated aggregate offering price to the public, net of underwriters’ discounts, selling commissions, and certain taxes and other fees, is at least $15 million, we will promptly (subject to the notice periods set forth in the Registration Rights Agreement) file a Form S-1 registration statement under the Securities Act covering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all registrable securities that the initiating holders requested to be registered and any additional registrable securities requested to be included in such registration by any other holders.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not obligated to effect, or to take any action to effect, any registration statement on Form S-1 pursuant to a demand request in certain circumstances if it is determined by us, subject to certain conditions set forth in the Registration Rights Agreement, that such registration would be materially detrimental to us and our stockholders and filing should be deferred.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any time after we are eligible to file a registration statement on Form S-3 under the Securities Act, and subject to the limitations and conditions set forth in the Registration Rights Agreement, Sponsor Investors or Astera may make a request that we prepare and file a registration statement on Form S-3 covering their shares, so long as the anticipated aggregate price to the public, net of the underwriters’ discounts, selling commissions and certain taxes and other fees, is at least $5,000,000. We will prepare and file the Form S-3 registration statement as requested, unless, as determined by us and subject to certain conditions set forth in the Registration Rights Agreement, such registration would be materially detrimental to us and our stockholders and filing should be deferred. We may defer only once in any 12-month period, and such deferral shall not exceed 90 days after receipt of the request for the demand registration.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Further, we are not obligated to effect, or to take any action to effect, any registration statement on Form S-3 pursuant to a demand request during the period that is 60 days before our good faith estimate of the date of filing of, and ending on a date that is 180 days after the effective date of, a Company-initiated registration, subject to certain conditions.</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Piggyback Registration Rights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Subject to certain specified exceptions, if we propose to register any of our securities under the Securities Act either for our own account or for the account of other stockholders, the holders of shares having registration rights are entitled to notice and certain “piggyback” registration rights allowing them to include their shares in our registration statement. These registration rights are subject to specified conditions and limitations, including the right of the underwriters, in their sole discretion, to limit the number of shares included in any such offering under certain circumstances.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Relationship with AE Operating and Affiliates of AE Industrial Partners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March 22, 2022, we and AE Industrial Operating Partners, LLC (“AE Operating”), an affiliate of AE Industrial Partners, entered into an agreement for consulting services provided related to our operations. Pursuant to this agreement and certain work orders between us and each of Redwire Space, Inc. and Belcan LLC, each an affiliate of AE Industrial Partners, we have (a) utilized AE Operating, the operating and consulting arm of AE Industrial Partners, for consulting services and executive recruitment, (b) reimbursed AE Industrial Partners for expenses related to participation by our employees in AE Industrial Partners sponsored events, (c) paid to AE Industrial Partners and AE Operating related fees and expenses, and (d) paid certain companies controlled by AE Industrial Partners for goods and services provided to us. We paid (i) $1.9 million for 2025 in connection with services provided by AE Industrial Partners, AE and AE Operating and (ii) $0.2 million in 2025 in connection with payment for goods and services provided by AE Industrial Partners’ portfolio companies. In connection with the completion of our IPO, we entered into an amended and restated consulting services agreement with AE Operating, pursuant to which we will pay AE Operating an annual fee of approximately $2.4 million for consulting and advisory services until the earlier of: (i) two years following the completion of our initial public offering or (ii) the time AE Industrial Partners beneficially owns less than 10% of our outstanding common stock.</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Director Nomination Agreement and Voting Proxies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connection with our IPO, we entered into a director nomination agreement (the “Director Nomination Agreement”) with the Investor Group that provides AE Industrial Partners, as representative of the Investor Group, with the right to designate nominees to our Board of Directors, subject to certain conditions. The Director Nomination Agreement provides the Investor Group the right to designate (i) 55% of the total number of directors comprising our Board of Directors (the “Total Number of Directors”) as nominees for election to our Board of Director for so long as the Investor Group beneficially owns, in the aggregate, 40% or more of the total number of shares of our common stock beneficially owned by the Investor Group upon completion of our IPO, as adjusted for any reorganization, recapitalization, stock dividend, stock split, reverse stock split or similar changes in our capitalization (the “Original Amount”); (ii) 40% of the Total Number of Directors for election to our Board of Directors for so long as the Investor Group beneficially owns at least 30% and less than 40% of the Original Amount; (iii) 30% of the Total Number of Directors for election to our Board of Directors for so long as the Investor Group beneficially owns at least 20% and less than 30% of the Original Amount; (iv) 20% of the Total Number of Directors for election to our Board of Directors for so long as the Investor Group beneficially owns at least 10% and less than 20% of the Original Amount and (iv) one nominee for election to our Board of Directors for so long as the Investor Group beneficially owns at least 5% of the Original Amount. In each case, any applicable nominee nominated pursuant to the Director Nomination Agreement must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comply with applicable law and stock exchange rules. The Investor Group includes certain entities controlled by Marc Weiser, a member of our Board of Directors, and Thomas Markusic, a former director.</w:t>
      </w:r>
    </w:p>
    <w:p>
      <w:pPr>
        <w:pStyle w:val="TextBody"/>
        <w:bidi w:val="0"/>
        <w:spacing w:before="0" w:after="200"/>
        <w:jc w:val="left"/>
        <w:rPr>
          <w:rFonts w:ascii="Times New Roman" w:hAnsi="Times New Roman"/>
          <w:sz w:val="20"/>
        </w:rPr>
      </w:pPr>
      <w:r>
        <w:rPr>
          <w:rFonts w:ascii="Times New Roman" w:hAnsi="Times New Roman"/>
          <w:i/>
          <w:color w:val="000000"/>
          <w:sz w:val="20"/>
        </w:rPr>
        <w:t>Term Loan Facility</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connection with our entry into the Original Credit Agreement, AE Industrial Partners acquired approximately $21.1 million of our Term Loan Facility through an affiliated entity. During the year ended December 31, 2025, we used approximately $136.5 million of our net proceeds from our IPO to repay in full the Term Loan Facility. As a result, AE Industrial Partners received $21.1 million of net proceeds in connection with such repayment.</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Thomas Markusic Stock Option Loan</w:t>
      </w:r>
    </w:p>
    <w:p>
      <w:pPr>
        <w:pStyle w:val="TextBody"/>
        <w:bidi w:val="0"/>
        <w:spacing w:before="0" w:after="200"/>
        <w:jc w:val="both"/>
        <w:rPr>
          <w:rFonts w:ascii="Times New Roman" w:hAnsi="Times New Roman"/>
          <w:sz w:val="20"/>
        </w:rPr>
      </w:pPr>
      <w:r>
        <w:rPr>
          <w:rFonts w:ascii="Times New Roman" w:hAnsi="Times New Roman"/>
          <w:color w:val="000000"/>
          <w:sz w:val="20"/>
        </w:rPr>
        <w:t>In April 2021, we entered into two stock option loan agreements (together, the “Markusic Option Loans”), with Thomas Markusic, pursuant to which we loaned to Mr. Markusic an aggregate of $1,458,299, due by the date of Mr. Markusic’s separation from us. The Markusic Option Loans were entered into in connection with the exercise of stock options for the purchase an aggregate of 10,396,003 shares of our common stock. The current balance of the loan is $0.2 million as of December 31, 2025</w:t>
      </w:r>
      <w:r>
        <w:rPr>
          <w:rFonts w:ascii="Times New Roman" w:hAnsi="Times New Roman"/>
          <w:i/>
          <w:color w:val="000000"/>
          <w:sz w:val="20"/>
        </w:rPr>
        <w:t>.</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Pursuant to the corporate governance standards of Nasdaq, a director employed by us cannot be deemed an “independent director,” and each other director will qualify as “independent” only if our Board of Directors 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 affiliations, our Board of Directors has determined that each of Pamela Braden, Ryan Boland, Marc Weiser, and Thomas Zurbuchen are independent in accordance with Nasdaq rules.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“Related Person Transactions.”</w:t>
      </w:r>
    </w:p>
    <w:p>
      <w:pPr>
        <w:pStyle w:val="TextBody"/>
        <w:bidi w:val="0"/>
        <w:jc w:val="both"/>
        <w:rPr>
          <w:rFonts w:ascii="Times New Roman" w:hAnsi="Times New Roman"/>
          <w:b/>
          <w:color w:val="000000"/>
          <w:sz w:val="20"/>
        </w:rPr>
      </w:pPr>
      <w:bookmarkStart w:id="30" w:name="item_14_principal_accounting_fees"/>
      <w:bookmarkEnd w:id="30"/>
      <w:r>
        <w:rPr>
          <w:rFonts w:ascii="Times New Roman" w:hAnsi="Times New Roman"/>
          <w:b/>
          <w:color w:val="000000"/>
          <w:sz w:val="20"/>
        </w:rPr>
        <w:t>Item 14. Principal Accounting Fees and Services.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Grant Thornton LLP (PCAOB ID No. 248) has served as our independent registered public accounting firm since 2022. The following table sets forth the aggregate fees billed for various professional services rendered by Grant Thornton LLP for the fiscal years ended December 31, 2025 and 2024 (in thousands).</w:t>
      </w:r>
    </w:p>
    <w:tbl>
      <w:tblPr>
        <w:tblW w:w="5096" w:type="dxa"/>
        <w:jc w:val="left"/>
        <w:tblInd w:w="0" w:type="dxa"/>
        <w:tblLayout w:type="fixed"/>
        <w:tblCellMar>
          <w:top w:w="28" w:type="dxa"/>
          <w:left w:w="28" w:type="dxa"/>
          <w:bottom w:w="28" w:type="dxa"/>
          <w:right w:w="28" w:type="dxa"/>
        </w:tblCellMar>
      </w:tblPr>
      <w:tblGrid>
        <w:gridCol w:w="1466"/>
        <w:gridCol w:w="246"/>
        <w:gridCol w:w="395"/>
        <w:gridCol w:w="1069"/>
        <w:gridCol w:w="273"/>
        <w:gridCol w:w="273"/>
        <w:gridCol w:w="395"/>
        <w:gridCol w:w="788"/>
        <w:gridCol w:w="191"/>
      </w:tblGrid>
      <w:tr>
        <w:trPr/>
        <w:tc>
          <w:tcPr>
            <w:tcW w:w="14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Fiscal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All other fees</w:t>
            </w:r>
            <w:r>
              <w:rPr>
                <w:rFonts w:ascii="Times New Roman" w:hAnsi="Times New Roman"/>
                <w:color w:val="000000"/>
                <w:sz w:val="13"/>
              </w:rPr>
              <w:t>(3)</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fees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(1) Represents the aggregate fees billed for the annual audit of financial statements, reviews of quarterly financial statements, and professional services rendered in connection with our Registration Statement on Form S-1 related to our IPO.</w:t>
      </w:r>
    </w:p>
    <w:p>
      <w:pPr>
        <w:pStyle w:val="TextBody"/>
        <w:bidi w:val="0"/>
        <w:spacing w:before="0" w:after="200"/>
        <w:jc w:val="both"/>
        <w:rPr>
          <w:rFonts w:ascii="Times New Roman" w:hAnsi="Times New Roman"/>
          <w:color w:val="000000"/>
          <w:sz w:val="16"/>
        </w:rPr>
      </w:pPr>
      <w:r>
        <w:rPr>
          <w:rFonts w:ascii="Times New Roman" w:hAnsi="Times New Roman"/>
          <w:color w:val="000000"/>
          <w:sz w:val="16"/>
        </w:rPr>
        <w:t>(2) Represents the aggregate fees billed for tax compliance, tax advice, and tax planning.</w:t>
      </w:r>
    </w:p>
    <w:p>
      <w:pPr>
        <w:pStyle w:val="TextBody"/>
        <w:bidi w:val="0"/>
        <w:spacing w:before="0" w:after="200"/>
        <w:jc w:val="both"/>
        <w:rPr>
          <w:rFonts w:ascii="Times New Roman" w:hAnsi="Times New Roman"/>
          <w:sz w:val="20"/>
        </w:rPr>
      </w:pPr>
      <w:r>
        <w:rPr>
          <w:rFonts w:ascii="Times New Roman" w:hAnsi="Times New Roman"/>
          <w:color w:val="000000"/>
          <w:sz w:val="16"/>
        </w:rPr>
        <w:t>(3) Represents fees for all other products and services that are not reported above.</w:t>
      </w:r>
      <w:r>
        <w:rPr>
          <w:rFonts w:ascii="Times New Roman" w:hAnsi="Times New Roman"/>
          <w:color w:val="000000"/>
          <w:sz w:val="20"/>
        </w:rPr>
        <w:t xml:space="preserve">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Audit Committee Pre-Approval of Audit and Non-Audit Services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of the services listed in the above table were approved by the Board of Directors prior to the adoption of the charter of the Audit Committee, which occurred in connection with the completion of the IPO. Consistent with the requirements of the SEC and the Public Company Accounting Oversight Board regarding auditor independence, our Audit Committee is responsible for the appointment, compensation, review and oversight of the work of the Company’s independent auditor. In recognition of this responsibility, the charter of the Audit Committee requires the review and pre-approval of all audit and any proposed permissible non-audit and tax services, and the terms of such services, provided by the Company’s independent auditor as and to the extent required by the Exchange Act and the Sarbanes Oxley Act of 2002. Additionally, the charter of the Audit Committee requires the establishment of any necessary policies and procedures to ensure the pre-approval of permitted services is in compliance with applicable SEC rules, and requires that such pre-approval policies are reviewed at least annually.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00" w:after="200"/>
        <w:jc w:val="both"/>
        <w:rPr>
          <w:rFonts w:ascii="Times New Roman" w:hAnsi="Times New Roman"/>
          <w:b/>
          <w:color w:val="000000"/>
          <w:sz w:val="20"/>
        </w:rPr>
      </w:pPr>
      <w:bookmarkStart w:id="31" w:name="item_15_exhibits_financial_statement"/>
      <w:bookmarkEnd w:id="31"/>
      <w:r>
        <w:rPr>
          <w:rFonts w:ascii="Times New Roman" w:hAnsi="Times New Roman"/>
          <w:b/>
          <w:color w:val="000000"/>
          <w:sz w:val="20"/>
        </w:rPr>
        <w:t>Item 15. Exhibits and Financial Statement Schedules.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documents are filed as part of this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statements are listed in the “Index to Financial Statements” under Item 8 of Part II of this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other financial statement schedules have been omitted because they are not applicable, not material or the required information is presented in the financial statements included in this Annual Report on Form 10-K.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Item 15(b)</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(b) Exhibit Index:</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Agreement and Plan of Reorganization, by and among Firefly Aerospace Inc., Big Bend RV Merger Sub, Inc., Big Bend FW Merger Sub, LLC, SciTec, Inc., SciTec Holdco, Inc., the Sellers named therein and the Sellers’ Representative named therein, dated as of October 5, 2025 (incorporated by reference to Exhibit 2.1 to the Company’s Current Report on Form 8-K filed with the SEC on October 6,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Amended and Restated Certificate of Incorporation of Firefly Aerospace Inc. (incorporated by reference to Exhibit3.1 to the Company’s Current Report on Form 8-K filed with the SEC on August 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Amended and Restated Bylaws of Firefly Aerospace Inc. (incorporated by reference to Exhibit 3.2 to the Company’s Current Report on Form 8-K filed with the SEC on August 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4_1.htm">
              <w:r>
                <w:rPr>
                  <w:rStyle w:val="InternetLink"/>
                  <w:rFonts w:ascii="Times New Roman" w:hAnsi="Times New Roman"/>
                  <w:color w:val="0000FF"/>
                  <w:sz w:val="20"/>
                  <w:u w:val="single"/>
                </w:rPr>
                <w:t>Description of common stock.</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4_2.htm">
              <w:r>
                <w:rPr>
                  <w:rStyle w:val="InternetLink"/>
                  <w:rFonts w:ascii="Times New Roman" w:hAnsi="Times New Roman"/>
                  <w:color w:val="0000FF"/>
                  <w:sz w:val="20"/>
                  <w:u w:val="single"/>
                </w:rPr>
                <w:t>Form of Warrant to Purchase Series J Preferred Stock</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Registration Rights Agreement, dated as of August 8, 2025, by and among Firefly Aerospace Inc. and the stockholders party thereto (incorporated by reference to Exhibit 10.2 to the Company’s Current Report on Form 8-K filed with the SEC on August 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Form of Indemnification Agreement between Firefly Aerospace Inc. and each of its directors and executive officers (incorporated by reference to Exhibit 10.1 to the Company’s Registration Statement on Form S-1 filed with the SEC on July 28,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Executive Letter Agreement, dated August 25, 2024, by and between Firefly Aerospace Inc. and Jason Kim (incorporated by reference to Exhibit 10.4 to the Company’s Registration Statement on Form S-1 filed with the SEC on July 11,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Executive Letter Agreement, dated March 13, 2025, by and between Firefly Aerospace Inc. and Darren Ma (incorporated by reference to Exhibit 10.7 to the Company’s Registration Statement on Form S-1 filed with the SEC on July 11,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10_4.htm">
              <w:r>
                <w:rPr>
                  <w:rStyle w:val="InternetLink"/>
                  <w:rFonts w:ascii="Times New Roman" w:hAnsi="Times New Roman"/>
                  <w:color w:val="0000FF"/>
                  <w:sz w:val="20"/>
                  <w:u w:val="single"/>
                </w:rPr>
                <w:t>Omnibus Amendment to Executive Employment Letter Agreements.</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Executive Letter Agreement, dated December 9, 2025, by and between Firefly Aerospace Inc. and Ramon Sanchez (incorporated by reference to Exhibit 10.1 to the Company’s Current Report on Form 8-K filed with the SEC on December 11,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Amended and Restated Firefly Aerospace Inc. 2017 Stock Plan, as amended through the date hereof (incorporated by reference to Exhibit 10.9 to the Company’s Registration Statement on Form S-1 filed with the SEC on July 11,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Form of Stock Option Agreement pursuant to the Amended and Restated Firefly Aerospace Inc. 2017 Stock Plan (incorporated by reference to Exhibit 10.10 to the Company’s Registration Statement on Form S-1 filed with the SEC on July 11,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Firefly Aerospace Inc. Performance-Based, Incentive Compensation Plan (incorporated by reference to Exhibit 10.11 to the Company’s Registration Statement on Form S-1 filed with the SEC on July 11,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Firefly Aerospace Inc. 2025 Omnibus Incentive Plan (incorporated by reference to Exhibit 10.6 to the Company’s Current Report on Form 8-K filed with the SEC on August 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Firefly Aerospace Inc. 2025 Employee Stock Purchase Plan (incorporated by reference to Exhibit 10.7 to the Company’s Current Report on Form 8-K filed with the SEC on August 8, 2025).</w:t>
              </w:r>
            </w:hyperlink>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
        <w:gridCol w:w="146"/>
        <w:gridCol w:w="9373"/>
      </w:tblGrid>
      <w:tr>
        <w:trPr/>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3" w:type="dxa"/>
            <w:tcBorders/>
            <w:vAlign w:val="center"/>
          </w:tcPr>
          <w:p>
            <w:pPr>
              <w:pStyle w:val="TableContents"/>
              <w:bidi w:val="0"/>
              <w:spacing w:before="0" w:after="283"/>
              <w:jc w:val="left"/>
              <w:rPr>
                <w:sz w:val="4"/>
                <w:szCs w:val="4"/>
              </w:rPr>
            </w:pPr>
            <w:r>
              <w:rPr>
                <w:sz w:val="4"/>
                <w:szCs w:val="4"/>
              </w:rPr>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Form of Restricted Stock Unit Award Agreement under the Firefly Aerospace Inc. 2025 Omnibus Incentive Plan (incorporated by reference to Exhibit 10.14 to the Company’s Registration Statement on Form S-1 filed with the SEC on July 28, 2025).</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Form of Option Award Agreement under the Firefly Aerospace Inc. 2025 Omnibus Incentive Plan (incorporated by reference to Exhibit 10.15 to the Company’s Registration Statement on Form S-1 filed with the SEC on July 28, 2025).</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Form of Performance Stock Unit Award Agreement under the Firefly Aerospace Inc. 2025 Omnibus Incentive Plan (incorporated by reference to Exhibit 10.2 to the Company’s Current Report on Form 8-K filed with the SEC on December 11, 2025).</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8">
              <w:r>
                <w:rPr>
                  <w:rStyle w:val="InternetLink"/>
                  <w:rFonts w:ascii="Times New Roman" w:hAnsi="Times New Roman"/>
                  <w:color w:val="0000FF"/>
                  <w:sz w:val="20"/>
                  <w:u w:val="single"/>
                </w:rPr>
                <w:t>Firefly Aerospace Inc. Executive Severance Plan., dated as of March 3, 2026 (incorporated by reference to Exhibit 10.1 to the Company’s Current Report on Form 8-K filed with the SEC on March 3, 2026).</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20"/>
                  <w:u w:val="single"/>
                </w:rPr>
                <w:t>Director Nomination Agreement, dated as of August 6, 2025, by and among Firefly Aerospace Inc. and the stockholders party thereto (incorporated by reference to Exhibit 10.3 to the Company’s Current Report on Form 8-K filed with the SEC on August 8, 2025).</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Times New Roman" w:hAnsi="Times New Roman"/>
                  <w:color w:val="0000FF"/>
                  <w:sz w:val="20"/>
                  <w:u w:val="single"/>
                </w:rPr>
                <w:t>Amended and Restated Consulting Agreement, dated as of August 8, 2025, between Firefly Aerospace Inc. and AE Industrial Operating Partners, LLC (incorporated by reference to Exhibit 10.4 to the Company’s Current Report on Form 8-K filed with the SEC on August 8, 2025).</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20"/>
                  <w:u w:val="single"/>
                </w:rPr>
                <w:t>Credit Agreement, dated as of August 8, 2025, among Firefly Aerospace Inc., the other loan parties party thereto, the lenders and issuing banks party thereto, and Wells Fargo Bank, National Association, as administrative agent (incorporated by reference to Exhibit 10.1 to the Company’s Current Report on Form 8-K filed with the SEC on August 8, 2025).</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Times New Roman" w:hAnsi="Times New Roman"/>
                  <w:color w:val="0000FF"/>
                  <w:sz w:val="20"/>
                  <w:u w:val="single"/>
                </w:rPr>
                <w:t>First Amendment to Credit Agreement, dated as of November 7, 2025, among Firefly Aerospace Inc., the other loan parties party thereto, the lenders and issuing banks party thereto, and Wells Fargo Bank, National Association, as administrative agent (incorporated by reference to Exhibit 10.1 to the Company’s Current Report on Form 8-K filed with the SEC on November 10, 2025).</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19_1.htm">
              <w:r>
                <w:rPr>
                  <w:rStyle w:val="InternetLink"/>
                  <w:rFonts w:ascii="Times New Roman" w:hAnsi="Times New Roman"/>
                  <w:color w:val="0000FF"/>
                  <w:sz w:val="20"/>
                  <w:u w:val="single"/>
                </w:rPr>
                <w:t>Insider Trading Policy of the Company.</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Times New Roman" w:hAnsi="Times New Roman"/>
                  <w:color w:val="000080"/>
                  <w:sz w:val="20"/>
                  <w:u w:val="single"/>
                </w:rPr>
                <w:t>List of Significant Subsidiaries of the Company (incorporated by reference to Exhibit 21.1 to the Company’s Registration Statement on Form S-1 filed with the SEC on November 17, 2025)</w:t>
              </w:r>
            </w:hyperlink>
            <w:r>
              <w:rPr>
                <w:rFonts w:ascii="Times New Roman" w:hAnsi="Times New Roman"/>
                <w:color w:val="0000FF"/>
                <w:sz w:val="20"/>
                <w:u w:val="single"/>
              </w:rPr>
              <w:t>.</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23_1.htm">
              <w:r>
                <w:rPr>
                  <w:rStyle w:val="InternetLink"/>
                  <w:rFonts w:ascii="Times New Roman" w:hAnsi="Times New Roman"/>
                  <w:color w:val="0000FF"/>
                  <w:sz w:val="20"/>
                  <w:u w:val="single"/>
                </w:rPr>
                <w:t>Consent of Grant Thornton LLP, Independent Registered Public Accounting Firm.</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fly-ex97_1.htm">
              <w:r>
                <w:rPr>
                  <w:rStyle w:val="InternetLink"/>
                  <w:rFonts w:ascii="Times New Roman" w:hAnsi="Times New Roman"/>
                  <w:color w:val="0000FF"/>
                  <w:sz w:val="20"/>
                  <w:u w:val="single"/>
                </w:rPr>
                <w:t>Policy for the Recovery of Erroneously Awarded Compensation.</w:t>
              </w:r>
            </w:hyperlink>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0"/>
        <w:gridCol w:w="146"/>
        <w:gridCol w:w="9799"/>
      </w:tblGrid>
      <w:tr>
        <w:trPr/>
        <w:tc>
          <w:tcPr>
            <w:tcW w:w="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management contract or compensatory plan or arrangement required to be filed as exhibit pursuant to Item 601 of Regulation S-K</w:t>
            </w:r>
          </w:p>
        </w:tc>
      </w:tr>
      <w:tr>
        <w:trPr/>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9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Filed herewith.</w:t>
            </w:r>
          </w:p>
        </w:tc>
      </w:tr>
      <w:tr>
        <w:trPr/>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9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Exhibit is furnished and shall not be deemed “filed” for purposes of Section 18 of the Exchange Act, or otherwise subject to the liabilities of that section, nor shall it be deemed incorporated by reference in any filing under Securities Act, or the Exchange Act, except as shall be expressly set forth by specific reference in such filing.</w:t>
            </w:r>
          </w:p>
        </w:tc>
      </w:tr>
    </w:tbl>
    <w:p>
      <w:pPr>
        <w:pStyle w:val="TextBody"/>
        <w:bidi w:val="0"/>
        <w:spacing w:before="200" w:after="200"/>
        <w:jc w:val="both"/>
        <w:rPr>
          <w:rFonts w:ascii="Times New Roman" w:hAnsi="Times New Roman"/>
          <w:b/>
          <w:color w:val="000000"/>
          <w:sz w:val="20"/>
        </w:rPr>
      </w:pPr>
      <w:bookmarkStart w:id="32" w:name="item_16_form_10_k_summary"/>
      <w:bookmarkEnd w:id="32"/>
      <w:r>
        <w:rPr>
          <w:rFonts w:ascii="Times New Roman" w:hAnsi="Times New Roman"/>
          <w:b/>
          <w:color w:val="000000"/>
          <w:sz w:val="20"/>
        </w:rPr>
        <w:t>Item 16. Form 10-K Summary</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3" w:name="signatures"/>
      <w:bookmarkEnd w:id="33"/>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both"/>
        <w:rPr/>
      </w:pPr>
      <w:r>
        <w:rPr/>
        <w:t> </w:t>
      </w:r>
    </w:p>
    <w:tbl>
      <w:tblPr>
        <w:tblW w:w="4514" w:type="dxa"/>
        <w:jc w:val="left"/>
        <w:tblInd w:w="0" w:type="dxa"/>
        <w:tblLayout w:type="fixed"/>
        <w:tblCellMar>
          <w:top w:w="28" w:type="dxa"/>
          <w:left w:w="28" w:type="dxa"/>
          <w:bottom w:w="28" w:type="dxa"/>
          <w:right w:w="28" w:type="dxa"/>
        </w:tblCellMar>
      </w:tblPr>
      <w:tblGrid>
        <w:gridCol w:w="1891"/>
        <w:gridCol w:w="146"/>
        <w:gridCol w:w="406"/>
        <w:gridCol w:w="207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Firefly Aerospace, Inc.</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Jason Kim</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both"/>
        <w:rPr/>
      </w:pPr>
      <w:r>
        <w:rPr/>
        <w:t> </w:t>
      </w:r>
    </w:p>
    <w:tbl>
      <w:tblPr>
        <w:tblW w:w="6775" w:type="dxa"/>
        <w:jc w:val="left"/>
        <w:tblInd w:w="0" w:type="dxa"/>
        <w:tblLayout w:type="fixed"/>
        <w:tblCellMar>
          <w:top w:w="28" w:type="dxa"/>
          <w:left w:w="28" w:type="dxa"/>
          <w:bottom w:w="28" w:type="dxa"/>
          <w:right w:w="28" w:type="dxa"/>
        </w:tblCellMar>
      </w:tblPr>
      <w:tblGrid>
        <w:gridCol w:w="2071"/>
        <w:gridCol w:w="146"/>
        <w:gridCol w:w="292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Kim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&amp;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i/>
                <w:color w:val="000000"/>
                <w:sz w:val="16"/>
              </w:rPr>
              <w:t>(Principal Executive Officer)</w:t>
            </w:r>
            <w:r>
              <w:rPr>
                <w:rFonts w:ascii="Times New Roman" w:hAnsi="Times New Roman"/>
                <w:color w:val="000000"/>
                <w:sz w:val="16"/>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Darren Ma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Chief Financial Officer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Darren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i/>
                <w:color w:val="000000"/>
                <w:sz w:val="16"/>
              </w:rPr>
              <w:t>(Principal Financial Officer)</w:t>
            </w:r>
            <w:r>
              <w:rPr>
                <w:rFonts w:ascii="Times New Roman" w:hAnsi="Times New Roman"/>
                <w:color w:val="000000"/>
                <w:sz w:val="16"/>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Remington Wu</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March 19, 2026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Remington Wu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i/>
                <w:color w:val="000000"/>
                <w:sz w:val="16"/>
              </w:rPr>
              <w:t>(Principal Accounting Officer)</w:t>
            </w:r>
            <w:r>
              <w:rPr>
                <w:rFonts w:ascii="Times New Roman" w:hAnsi="Times New Roman"/>
                <w:color w:val="000000"/>
                <w:sz w:val="16"/>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Kirk Konert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Kirk Konert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Boland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March 19, 2026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Ryan Boland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Braden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Pamela Braden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Emerson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Christopher Emerson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 Lusczakoski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Jon Lusczakoski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McAllister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Kevin McAllister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Marc Weiser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 Weiser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Zurbuchen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Thomas Zurbuchen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bookmarkStart w:id="34" w:name="fly-ex4_1.htm"/>
      <w:bookmarkStart w:id="35" w:name="ksflyex4_1"/>
      <w:bookmarkEnd w:id="34"/>
      <w:bookmarkEnd w:id="35"/>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4.1</w:t>
      </w:r>
    </w:p>
    <w:p>
      <w:pPr>
        <w:pStyle w:val="TextBody"/>
        <w:bidi w:val="0"/>
        <w:jc w:val="center"/>
        <w:rPr>
          <w:rFonts w:ascii="Times New Roman" w:hAnsi="Times New Roman"/>
          <w:b/>
          <w:color w:val="000000"/>
          <w:sz w:val="20"/>
        </w:rPr>
      </w:pPr>
      <w:r>
        <w:rPr>
          <w:rFonts w:ascii="Times New Roman" w:hAnsi="Times New Roman"/>
          <w:b/>
          <w:color w:val="000000"/>
          <w:sz w:val="20"/>
        </w:rPr>
        <w:t>DESCRIPTION OF THE REGISTRANT’S SECURITIES REGISTERED PURSUANT TO SECTION</w:t>
      </w:r>
    </w:p>
    <w:p>
      <w:pPr>
        <w:pStyle w:val="TextBody"/>
        <w:bidi w:val="0"/>
        <w:jc w:val="center"/>
        <w:rPr>
          <w:rFonts w:ascii="Times New Roman" w:hAnsi="Times New Roman"/>
          <w:b/>
          <w:color w:val="000000"/>
          <w:sz w:val="20"/>
        </w:rPr>
      </w:pPr>
      <w:r>
        <w:rPr>
          <w:rFonts w:ascii="Times New Roman" w:hAnsi="Times New Roman"/>
          <w:b/>
          <w:color w:val="000000"/>
          <w:sz w:val="20"/>
        </w:rPr>
        <w:t>12 OF THE SECURITIES AND EXCHANGE ACT OF 1934</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Firefly Aerospace Inc. (the “Company,” “we,” “our,” and “us”) has one class of securities, our common stock, par value $0.0001 per share (“Common Stock”), registered under Section 12 of the Securities Exchange Act of 1934, as amended (the “Exchange Act”).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following summary of terms of our Common Stock is based upon our Amended and Restated Certificate of Incorporation, as amended (the “certificate of incorporation”) and Amended and Restated Bylaws (the “bylaws) currently in effect under Delaware law. This summary is not complete and is subject to, and qualified in its entirety by reference to, the certificate of incorporation and bylaws, which are filed as exhibits to our Annual Report on Form 10-K. We encourage you to read these documents and the applicable sections of the Delaware General Corporation Law, as amended (the “DGCL”), carefully.</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General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authorized to issue 1,000,000,000 shares of Common Stock and 100,000,000 shares of preferred stock, par value $0.0001 per share, of the Company (“Preferred Stock”).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 Rights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Subject to the prior rights of the holders of our Preferred Stock, if any, the holders of our Common Stock are entitled to receive, and will share ratably in, dividends when and as declared by our board of directors (the “Board”) from legally available sources.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share of our Common Stock entitles its holder to one vote per share on all matters to be voted upon by the stockholders. Holders of shares of our Common Stock have no cumulative voting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Preemptive or Similar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rights of the holders of shares of any series of our Preferred Stock that our Board may designate and issue in the future, our Common Stock is not entitled to any preemptive or similar rights.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Conversion or Redemption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neither convertible nor redeemable.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Liquidation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our liquidation, dissolution or winding-up, the assets legally available for distribution to our stockholders would be distributable ratably among the holders of our Common Stock and any participating Preferred Stock outstanding at that time after payment of liquidation preferences, if any, on any outstanding shares of Preferred Stock and payment of claims of creditors.</w:t>
      </w:r>
    </w:p>
    <w:p>
      <w:pPr>
        <w:pStyle w:val="TextBody"/>
        <w:bidi w:val="0"/>
        <w:spacing w:before="120" w:after="283"/>
        <w:jc w:val="left"/>
        <w:rPr>
          <w:rFonts w:ascii="Times New Roman" w:hAnsi="Times New Roman"/>
          <w:sz w:val="20"/>
        </w:rPr>
      </w:pPr>
      <w:r>
        <w:rPr>
          <w:rFonts w:ascii="Times New Roman" w:hAnsi="Times New Roman"/>
          <w:b/>
          <w:i/>
          <w:color w:val="000000"/>
          <w:sz w:val="20"/>
        </w:rPr>
        <w:t>Relationship to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are authorized to issue up to 100,000,000 shares of our Preferred Stock in one or more series, to establish from time to time the number of shares to be included in each series, to fix the designation, powers, </w:t>
      </w:r>
    </w:p>
    <w:p>
      <w:pPr>
        <w:pStyle w:val="TextBody"/>
        <w:bidi w:val="0"/>
        <w:spacing w:before="6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preferences, and rights of the shares of each series and any qualifications, limitations, or restrictions thereof, in each case without further action by our stockholders. Subject to the terms of any series of Preferred Stock so designated, our Board is also authorized to increase or decrease the number of shares of any series of Preferred Stock, but not below the number of shares of that series then outstanding. Our Board may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could adversely affect the market price of our Common Stock and the voting and other rights of the holders of our Common Stock.</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Anti-Takeover Effects of Our Certificate of Incorporation and Our Bylaws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certificate of incorporation, bylaws and the DGCL contain provisions, which are summarized in the following paragraphs. These provisions are intended to enhance the likelihood of continued stability in the composition of our Board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These provisions include: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Anti-Takeover Statute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provides that we are not governed by Section 203 of the DGCL which, in the absence of such provisions, would have imposed additional requirements regarding mergers and other business combinations.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our certificate of incorporation includes a provision that restricts us from engaging in any business combination with an interested stockholder for three years following the date that person becomes an interested stockholder. These restrictions do not apply to any business combination involving AE Industrial Partners or any affiliate of AE Industrial Partners or their respective direct and indirect transferees, on the one hand, and us, on the other.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are able to enter into a business combination with an interested stockholder if:</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before that person became an interested stockholder, our Board approved the transaction in which the interested stockholder became an interested stockholder or approved the business combination;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following the transaction in which that person became an interested stockholder, the business combination is approved by our Board and is authorized at a meeting of stockholders by the affirmative vote of the holders of at least 66 2/3% of our outstanding voting stock not owned by the interested stockholder.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will not include AE Industrial Partners or any affiliate of AE Industrial Partners or their respective direct and indirect transferees.</w:t>
      </w:r>
    </w:p>
    <w:p>
      <w:pPr>
        <w:pStyle w:val="TextBody"/>
        <w:bidi w:val="0"/>
        <w:jc w:val="left"/>
        <w:rPr>
          <w:rFonts w:ascii="Aptos;sans-serif" w:hAnsi="Aptos;sans-serif"/>
          <w:color w:val="000000"/>
          <w:sz w:val="24"/>
        </w:rPr>
      </w:pPr>
      <w:r>
        <w:rPr>
          <w:rFonts w:ascii="Aptos;sans-serif" w:hAnsi="Aptos;sans-serif"/>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Board Classification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provides for a Board comprised of three classes of directors, with each class serving a three-year term beginning and ending in different years than those of the other two classes. Only one class of directors is to be elected at each annual meeting of our stockholders, with the other classes continuing for the remainder of their respective three-year terms. The classification of our Board and the limitations on the ability of our stockholders to remove directors without cause following the time when AE Industrial Partners ceases to beneficially own at least 40% of the shares of our outstanding Common Stock (the “Trigger Date”) could make it more difficult for a third party to acquire, or discourage a third party from seeking to acquire, control of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Action by Written Consent; Special Meetings of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provides that, from and after the Trigger Date, our stockholders may not act by written consent, which may lengthen the amount of time required to take stockholder actions. As a result, following the Trigger Date, a holder controlling a majority of our Common Stock would not be able to amend our bylaws or remove directors without holding a meeting of our stockholders called in accordance with our bylaws. In addition, our certificate of incorporation provides that, from and after the Trigger Date, special meetings of the stockholders may be called only by the chairperson of our Board, our Chief Executive Officer, or our Boards. Following the Trigger Date, stockholders may not call a special meeting of stockholders, which may delay the ability of our stockholders to force consideration of a proposal or for holders controlling a majority of our Common Stock to take any action, including the removal of directors.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Advance Notice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bylaws establish advance notice procedures with respect to stockholder proposals and stockholder nomination of candidates for election as directors provided, however, at any time when AE Industrial Partners beneficially owns, in the aggregate, at least 20% in voting power of the stock of the Company entitled to vote generally in the election of directors, such advance notice procedure will not apply to AE Industrial Partners.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us.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Removal of Directors; Vacancies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from and after the Trigger Date, directors may only be removed for cause by the affirmative vote of at least two thirds of the voting power of our outstanding Common Stock. Prior to the Trigger Date, directors may be removed with or without cause by the affirmative vote of at least a majority of the voting power of our outstanding Common Stock. Except in the case of a vacancy arising with respect to a director designated by AE Industrial Partners where AE Industrial Partners continues to have a right of designation, our Board has the sole power to fill any vacancy on our Board, whether such vacancy occurs as a result of an increase in the number of directors or otherwise.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Amendment of Charter and Bylaw Provisions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provides that, following the Trigger Date, the amendment of certain of the provisions of our certificate of incorporation requires approval by holders of at least two-thirds of the voting power of our outstanding Common Stock. Our certificate of incorporation provides that our Board may from time to time adopt, amend, alter, or repeal our bylaws without stockholder approval. The stockholders may adopt, amend, alter, or repeal our bylaws by the affirmative vote of a majority of the voting power of our outstanding Common Stock (other than certain specified bylaws which, following the Trigger Date, require the affirmative vote of two-thirds of our outstanding Common Stock).</w:t>
      </w:r>
    </w:p>
    <w:p>
      <w:pPr>
        <w:pStyle w:val="TextBody"/>
        <w:bidi w:val="0"/>
        <w:spacing w:before="240" w:after="283"/>
        <w:jc w:val="both"/>
        <w:rPr/>
      </w:pPr>
      <w:r>
        <w:rPr/>
        <w:t> </w:t>
      </w:r>
    </w:p>
    <w:p>
      <w:pPr>
        <w:pStyle w:val="TextBody"/>
        <w:bidi w:val="0"/>
        <w:jc w:val="left"/>
        <w:rPr>
          <w:rFonts w:ascii="Aptos;sans-serif" w:hAnsi="Aptos;sans-serif"/>
          <w:color w:val="000000"/>
          <w:sz w:val="24"/>
        </w:rPr>
      </w:pPr>
      <w:r>
        <w:rPr>
          <w:rFonts w:ascii="Aptos;sans-serif" w:hAnsi="Aptos;sans-serif"/>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Corporate Opportunity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122(17) of the DGCL permits a corporation to renounce, in advance, in its certificate of incorporation or by action of its board of directors, any interest or expectancy of a corporation in certain classes or categories of business opportunities. Our certificate of incorporation provides that, to the fullest extent permitted by law, no officer or director of ours who is also an officer, director, employee, managing director, or other affiliate of AE Industrial Partners is liable to us or our stockholders for breach of any fiduciary duty by reason of the fact that any such individual directs a corporate opportunity to AE Industrial Partners, as applicable, instead of us, or does not communicate information regarding a corporate opportunity to us that the officer, director, employee, managing director, or other affiliate has directed to AE Industrial Partners, as applicable. This provision may not be modified without the written consent of AE Industrial Partners until such time as AE Industrial Partners does not own any of our outstanding shares of Common Stock.</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Choice of Forum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provides that the Court of Chancery of the State of Delaware is the exclusive forum for: (i) any derivative action or proceeding brought on our behalf; (ii) any action asserting a breach of fiduciary duty; (iii) any action asserting a claim against us arising under the DGCL; (iv) any action regarding our certificate of incorporation or our bylaws; or (v) any action asserting a claim against us that is governed by the internal affairs doctrine. This provision does not apply to suits brought to enforce a duty or liability created by the Exchange Act or any other claim for which the U.S. federal courts have exclusive jurisdiction. These provisions provide that, unless we consent in writing to the selection of an alternative forum, the federal district courts of the United States are the exclusive forum for the resolution of any complaint asserting a cause of action arising under the Securities Act of 1933, as amended (the “Securities Act”) subject to and contingent upon a final adjudication in the State of Delaware of the enforceability of such exclusive-forum provision. Any person or entity purchasing or otherwise acquiring any interest in shares of our capital stock will be deemed to have notice of, and consented to, the forum provisions in our certificate of incorporation.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and officers. However, it is possible that a court could find our forum selection provisions to be inapplicable or unenforceable.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Limitations on Liability and Indemnification of Officers and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DGCL authorizes corporations to limit or eliminate the personal liability of directors or officers to corporations and their stockholders for monetary damages for breaches of directors’ or officers’ fiduciary duties, subject to certain exceptions. Our certificate of incorporation includes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or officer for breach of fiduciary duty as a director or officer, respectively, including breaches resulting from grossly negligent behavior. However, exculpation does not apply to any director or officer if the director or officer has acted in bad faith, knowingly or intentionally violated the law, authorized illegal dividends or redemptions, or derived an improper benefit from his or her actions as a director or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limitation of liability, indemnification, and advancement provisions that are included in our certificate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Transfer Agent and Registrar</w:t>
      </w:r>
    </w:p>
    <w:p>
      <w:pPr>
        <w:pStyle w:val="TextBody"/>
        <w:bidi w:val="0"/>
        <w:jc w:val="left"/>
        <w:rPr>
          <w:rFonts w:ascii="Aptos;sans-serif" w:hAnsi="Aptos;sans-serif"/>
          <w:color w:val="000000"/>
          <w:sz w:val="24"/>
        </w:rPr>
      </w:pPr>
      <w:r>
        <w:rPr>
          <w:rFonts w:ascii="Aptos;sans-serif" w:hAnsi="Aptos;sans-serif"/>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transfer agent and registrar for our Common Stock is Equiniti Trust Company, LLC. The transfer agent’s address is 28 Liberty Street, Floor 53, New York, NY 10005 and its phone number is 651-328-4405.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Listing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listed on Nasdaq under the symbol “FLY.”</w:t>
      </w:r>
    </w:p>
    <w:p>
      <w:pPr>
        <w:pStyle w:val="TextBody"/>
        <w:bidi w:val="0"/>
        <w:spacing w:before="0" w:after="24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36" w:name="fly-ex4_2.htm"/>
      <w:bookmarkStart w:id="37" w:name="ksflyex4_2"/>
      <w:bookmarkEnd w:id="36"/>
      <w:bookmarkEnd w:id="37"/>
      <w:r>
        <w:rPr>
          <w:rFonts w:ascii="Times New Roman" w:hAnsi="Times New Roman"/>
          <w:b/>
          <w:i/>
          <w:color w:val="000000"/>
          <w:sz w:val="24"/>
        </w:rPr>
        <w:t>Form of Execution Version</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240"/>
        <w:jc w:val="both"/>
        <w:rPr>
          <w:rFonts w:ascii="Times New Roman" w:hAnsi="Times New Roman"/>
          <w:sz w:val="20"/>
        </w:rPr>
      </w:pPr>
      <w:r>
        <w:rPr>
          <w:rFonts w:ascii="Times New Roman" w:hAnsi="Times New Roman"/>
          <w:color w:val="000000"/>
          <w:sz w:val="24"/>
        </w:rPr>
        <w:t>THIS WARRANT AND THE SECURITIES ISSUABLE UPON THE EXERCISE HEREOF HAVE NOT BEEN REGISTERED UNDER THE SECURITIES ACT OF 1933, AS AMENDED (THE “</w:t>
      </w:r>
      <w:r>
        <w:rPr>
          <w:rFonts w:ascii="Times New Roman" w:hAnsi="Times New Roman"/>
          <w:b/>
          <w:color w:val="000000"/>
          <w:sz w:val="24"/>
        </w:rPr>
        <w:t>ACT</w:t>
      </w:r>
      <w:r>
        <w:rPr>
          <w:rFonts w:ascii="Times New Roman" w:hAnsi="Times New Roman"/>
          <w:color w:val="000000"/>
          <w:sz w:val="20"/>
        </w:rPr>
        <w:t>”</w:t>
      </w:r>
      <w:r>
        <w:rPr>
          <w:rFonts w:ascii="Times New Roman" w:hAnsi="Times New Roman"/>
          <w:color w:val="000000"/>
          <w:sz w:val="24"/>
        </w:rPr>
        <w:t>), OR UNDER ANY OTHER APPLICABLE SECURITIES LAWS. THIS WARRANT IS SUBJECT TO CERTAIN TRANSFER AND OTHER RESTRICTIONS SET FORTH HEREIN, AND THE SECURITIES ISSUABLE UPON EXERCISE OF THIS WARRANT ARE SUBJECT TO CERTAIN TRANSFER AND OTHER RESTRICTIONS PURSUANT TO THE CERTIFICATE (AS DEFINED BELOW). THIS WARRANT AND THE SECURITIES ISSUABLE UPON THE EXERCISE HEREOF MAY NOT BE SOLD, OFFERED FOR SALE, PLEDGED, HYPOTHECATED, OR OTHERWISE TRANSFERRED EXCEPT PURSUANT TO AN EFFECTIVE REGISTRATION STATEMENT UNDER THE ACT OR PURSUANT TO AN EXEMPTION FROM THE REGISTRATION REQUIREMENTS UNDER THE ACT.</w:t>
      </w:r>
      <w:r>
        <w:rPr>
          <w:rFonts w:ascii="Times New Roman" w:hAnsi="Times New Roman"/>
          <w:color w:val="000000"/>
          <w:sz w:val="20"/>
        </w:rPr>
        <w:t xml:space="preserve"> </w:t>
      </w:r>
    </w:p>
    <w:p>
      <w:pPr>
        <w:pStyle w:val="TextBody"/>
        <w:bidi w:val="0"/>
        <w:jc w:val="left"/>
        <w:rPr/>
      </w:pPr>
      <w:r>
        <w:rPr/>
        <w:t> </w:t>
      </w:r>
    </w:p>
    <w:tbl>
      <w:tblPr>
        <w:tblW w:w="6953" w:type="dxa"/>
        <w:jc w:val="left"/>
        <w:tblInd w:w="0" w:type="dxa"/>
        <w:tblLayout w:type="fixed"/>
        <w:tblCellMar>
          <w:top w:w="28" w:type="dxa"/>
          <w:left w:w="28" w:type="dxa"/>
          <w:bottom w:w="28" w:type="dxa"/>
          <w:right w:w="28" w:type="dxa"/>
        </w:tblCellMar>
      </w:tblPr>
      <w:tblGrid>
        <w:gridCol w:w="3196"/>
        <w:gridCol w:w="1856"/>
        <w:gridCol w:w="1901"/>
      </w:tblGrid>
      <w:tr>
        <w:trPr/>
        <w:tc>
          <w:tcPr>
            <w:tcW w:w="319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of Issuance</w:t>
            </w:r>
          </w:p>
        </w:tc>
        <w:tc>
          <w:tcPr>
            <w:tcW w:w="1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Void after</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 xml:space="preserve">[●], 2023 </w:t>
            </w:r>
            <w:r>
              <w:rPr>
                <w:rFonts w:ascii="Times New Roman" w:hAnsi="Times New Roman"/>
                <w:color w:val="000000"/>
                <w:sz w:val="24"/>
              </w:rPr>
              <w:t>(the “</w:t>
            </w:r>
            <w:r>
              <w:rPr>
                <w:rFonts w:ascii="Times New Roman" w:hAnsi="Times New Roman"/>
                <w:b/>
                <w:color w:val="000000"/>
                <w:sz w:val="24"/>
              </w:rPr>
              <w:t>Issuance Date</w:t>
            </w:r>
            <w:r>
              <w:rPr>
                <w:rFonts w:ascii="Times New Roman" w:hAnsi="Times New Roman"/>
                <w:color w:val="000000"/>
                <w:sz w:val="24"/>
              </w:rPr>
              <w:t>”)</w:t>
            </w:r>
          </w:p>
        </w:tc>
        <w:tc>
          <w:tcPr>
            <w:tcW w:w="1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 2033</w:t>
            </w:r>
          </w:p>
        </w:tc>
      </w:tr>
      <w:tr>
        <w:trPr/>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56" w:type="dxa"/>
            <w:tcBorders/>
            <w:tcMar>
              <w:top w:w="0" w:type="dxa"/>
              <w:left w:w="0" w:type="dxa"/>
              <w:bottom w:w="0" w:type="dxa"/>
              <w:right w:w="0" w:type="dxa"/>
            </w:tcMar>
            <w:vAlign w:val="center"/>
          </w:tcPr>
          <w:p>
            <w:pPr>
              <w:pStyle w:val="TableContents"/>
              <w:bidi w:val="0"/>
              <w:spacing w:before="0" w:after="283"/>
              <w:ind w:left="0" w:right="0" w:firstLine="1710"/>
              <w:jc w:val="center"/>
              <w:rPr/>
            </w:pPr>
            <w:r>
              <w:rPr/>
              <w:t> </w:t>
            </w:r>
          </w:p>
        </w:tc>
        <w:tc>
          <w:tcPr>
            <w:tcW w:w="1901" w:type="dxa"/>
            <w:tcBorders/>
            <w:tcMar>
              <w:top w:w="0" w:type="dxa"/>
              <w:left w:w="0" w:type="dxa"/>
              <w:bottom w:w="0" w:type="dxa"/>
              <w:right w:w="0" w:type="dxa"/>
            </w:tcMar>
            <w:vAlign w:val="center"/>
          </w:tcPr>
          <w:p>
            <w:pPr>
              <w:pStyle w:val="TableContents"/>
              <w:bidi w:val="0"/>
              <w:spacing w:before="0" w:after="283"/>
              <w:ind w:left="0" w:right="0" w:firstLine="1710"/>
              <w:jc w:val="left"/>
              <w:rPr/>
            </w:pPr>
            <w:r>
              <w:rPr/>
              <w:t> </w:t>
            </w:r>
          </w:p>
        </w:tc>
      </w:tr>
    </w:tbl>
    <w:p>
      <w:pPr>
        <w:pStyle w:val="TextBody"/>
        <w:bidi w:val="0"/>
        <w:jc w:val="left"/>
        <w:rPr/>
      </w:pPr>
      <w:r>
        <w:rPr/>
        <w:t> </w:t>
      </w:r>
    </w:p>
    <w:p>
      <w:pPr>
        <w:pStyle w:val="TextBody"/>
        <w:bidi w:val="0"/>
        <w:spacing w:before="0" w:after="480"/>
        <w:jc w:val="center"/>
        <w:rPr>
          <w:rFonts w:ascii="Times New Roman" w:hAnsi="Times New Roman"/>
          <w:sz w:val="20"/>
        </w:rPr>
      </w:pPr>
      <w:r>
        <w:rPr>
          <w:rFonts w:ascii="Times New Roman" w:hAnsi="Times New Roman"/>
          <w:b/>
          <w:color w:val="000000"/>
          <w:sz w:val="24"/>
        </w:rPr>
        <w:t>FIREFLY AEROSPACE INC.</w:t>
        <w:br/>
      </w:r>
      <w:r>
        <w:rPr>
          <w:rFonts w:ascii="Times New Roman" w:hAnsi="Times New Roman"/>
          <w:b/>
          <w:color w:val="000000"/>
          <w:sz w:val="24"/>
          <w:u w:val="single"/>
        </w:rPr>
        <w:t>WARRANT TO PURCHASE SERIES J PREFERRED STOCK</w:t>
      </w:r>
    </w:p>
    <w:p>
      <w:pPr>
        <w:pStyle w:val="TextBody"/>
        <w:bidi w:val="0"/>
        <w:spacing w:before="0" w:after="120"/>
        <w:jc w:val="both"/>
        <w:rPr>
          <w:rFonts w:ascii="Times New Roman" w:hAnsi="Times New Roman"/>
          <w:sz w:val="20"/>
        </w:rPr>
      </w:pPr>
      <w:r>
        <w:rPr>
          <w:rFonts w:ascii="Times New Roman" w:hAnsi="Times New Roman"/>
          <w:color w:val="000000"/>
          <w:sz w:val="24"/>
        </w:rPr>
        <w:t>For value received,</w:t>
      </w:r>
      <w:r>
        <w:rPr>
          <w:rFonts w:ascii="Times New Roman" w:hAnsi="Times New Roman"/>
          <w:color w:val="000000"/>
          <w:sz w:val="20"/>
        </w:rPr>
        <w:t xml:space="preserve"> </w:t>
      </w:r>
      <w:r>
        <w:rPr>
          <w:rFonts w:ascii="Times New Roman" w:hAnsi="Times New Roman"/>
          <w:color w:val="000000"/>
          <w:sz w:val="24"/>
        </w:rPr>
        <w:t xml:space="preserve">the receipt and sufficiency of which are hereby acknowledged, this Warrant is issued to </w:t>
      </w:r>
      <w:r>
        <w:rPr>
          <w:rFonts w:ascii="Times New Roman" w:hAnsi="Times New Roman"/>
          <w:b/>
          <w:color w:val="000000"/>
          <w:sz w:val="24"/>
        </w:rPr>
        <w:t>[●]</w:t>
      </w:r>
      <w:r>
        <w:rPr>
          <w:rFonts w:ascii="Times New Roman" w:hAnsi="Times New Roman"/>
          <w:color w:val="000000"/>
          <w:sz w:val="24"/>
        </w:rPr>
        <w:t xml:space="preserve">, a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by Firefly Aerospace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Capitalized terms used and not defined herein have the meaning ascribed to such terms either in (i) that certain Ninth Amended and Restated Certificate of Incorporation of the Company, dated as of the date hereof (as amended, restated or otherwise modified from time to time, the “</w:t>
      </w:r>
      <w:r>
        <w:rPr>
          <w:rFonts w:ascii="Times New Roman" w:hAnsi="Times New Roman"/>
          <w:b/>
          <w:color w:val="000000"/>
          <w:sz w:val="24"/>
        </w:rPr>
        <w:t>Certificate</w:t>
      </w:r>
      <w:r>
        <w:rPr>
          <w:rFonts w:ascii="Times New Roman" w:hAnsi="Times New Roman"/>
          <w:color w:val="000000"/>
          <w:sz w:val="20"/>
        </w:rPr>
        <w:t>”</w:t>
      </w:r>
      <w:r>
        <w:rPr>
          <w:rFonts w:ascii="Times New Roman" w:hAnsi="Times New Roman"/>
          <w:color w:val="000000"/>
          <w:sz w:val="24"/>
        </w:rPr>
        <w:t>), or (ii) those certain Second Amended and Restated Bylaws of the Company, dated February 2, 2023 (as amended, restated or otherwise modified from time to time, the “</w:t>
      </w:r>
      <w:r>
        <w:rPr>
          <w:rFonts w:ascii="Times New Roman" w:hAnsi="Times New Roman"/>
          <w:b/>
          <w:color w:val="000000"/>
          <w:sz w:val="24"/>
        </w:rPr>
        <w:t>Bylaws</w:t>
      </w:r>
      <w:r>
        <w:rPr>
          <w:rFonts w:ascii="Times New Roman" w:hAnsi="Times New Roman"/>
          <w:color w:val="000000"/>
          <w:sz w:val="20"/>
        </w:rPr>
        <w:t>”</w:t>
      </w:r>
      <w:r>
        <w:rPr>
          <w:rFonts w:ascii="Times New Roman" w:hAnsi="Times New Roman"/>
          <w:color w:val="000000"/>
          <w:sz w:val="24"/>
        </w:rPr>
        <w:t>),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u w:val="single"/>
        </w:rPr>
        <w:t>Purchase of Series J Preferred Stock</w:t>
      </w:r>
      <w:r>
        <w:rPr>
          <w:rFonts w:ascii="Times New Roman" w:hAnsi="Times New Roman"/>
          <w:b/>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Number of Shares</w:t>
      </w:r>
      <w:r>
        <w:rPr>
          <w:rFonts w:ascii="Times New Roman" w:hAnsi="Times New Roman"/>
          <w:color w:val="000000"/>
          <w:sz w:val="24"/>
        </w:rPr>
        <w:t xml:space="preserve">. Subject to the terms and conditions set forth herein, the Holder is entitled, upon exercise of this Warrant in accordance with </w:t>
      </w:r>
      <w:r>
        <w:rPr>
          <w:rFonts w:ascii="Times New Roman" w:hAnsi="Times New Roman"/>
          <w:color w:val="000000"/>
          <w:sz w:val="24"/>
          <w:u w:val="single"/>
        </w:rPr>
        <w:t>Section 2</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 xml:space="preserve">hereof, to purchase from the Company </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shares (as adjusted pursuant to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hereof, the “</w:t>
      </w:r>
      <w:r>
        <w:rPr>
          <w:rFonts w:ascii="Times New Roman" w:hAnsi="Times New Roman"/>
          <w:b/>
          <w:color w:val="000000"/>
          <w:sz w:val="24"/>
        </w:rPr>
        <w:t>Warrant Shares</w:t>
      </w:r>
      <w:r>
        <w:rPr>
          <w:color w:val="000000"/>
        </w:rPr>
        <w:t>”</w:t>
      </w:r>
      <w:r>
        <w:rPr>
          <w:rFonts w:ascii="Times New Roman" w:hAnsi="Times New Roman"/>
          <w:color w:val="000000"/>
          <w:sz w:val="24"/>
        </w:rPr>
        <w:t>) of the Series J Preferred Stock, par value $0.0001 per share, of the Company (“</w:t>
      </w:r>
      <w:r>
        <w:rPr>
          <w:rFonts w:ascii="Times New Roman" w:hAnsi="Times New Roman"/>
          <w:b/>
          <w:color w:val="000000"/>
          <w:sz w:val="24"/>
        </w:rPr>
        <w:t>Preferred Stock</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The purchase price per share for the Warrant Shares issuable pursuant to this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 xml:space="preserve">shall be an amount equal to $6.5058, </w:t>
      </w:r>
      <w:r>
        <w:rPr>
          <w:rFonts w:ascii="Times New Roman" w:hAnsi="Times New Roman"/>
          <w:color w:val="000000"/>
          <w:sz w:val="24"/>
          <w:u w:val="single"/>
        </w:rPr>
        <w:t>provided</w:t>
      </w:r>
      <w:r>
        <w:rPr>
          <w:rFonts w:ascii="Times New Roman" w:hAnsi="Times New Roman"/>
          <w:color w:val="000000"/>
          <w:sz w:val="24"/>
        </w:rPr>
        <w:t xml:space="preserve">, that such purchase price of such Warrant Shares shall be subject to adjustment pursuant to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hereof. Such purchase price, as adjusted from time to time, is herein referred to as the “</w:t>
      </w:r>
      <w:r>
        <w:rPr>
          <w:rFonts w:ascii="Times New Roman" w:hAnsi="Times New Roman"/>
          <w:b/>
          <w:color w:val="000000"/>
          <w:sz w:val="24"/>
        </w:rPr>
        <w:t>Exercise Price</w:t>
      </w:r>
      <w:r>
        <w:rPr>
          <w:rFonts w:ascii="Times New Roman" w:hAnsi="Times New Roman"/>
          <w:color w:val="000000"/>
          <w:sz w:val="24"/>
        </w:rPr>
        <w:t xml:space="preserve">.”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u w:val="single"/>
        </w:rPr>
        <w:t>Exercise Period</w:t>
      </w:r>
      <w:r>
        <w:rPr>
          <w:rFonts w:ascii="Times New Roman" w:hAnsi="Times New Roman"/>
          <w:b/>
          <w:color w:val="000000"/>
          <w:sz w:val="24"/>
        </w:rPr>
        <w:t>.</w:t>
      </w:r>
      <w:r>
        <w:rPr>
          <w:color w:val="000000"/>
        </w:rPr>
        <w:t xml:space="preserve"> </w:t>
      </w:r>
      <w:r>
        <w:rPr>
          <w:rFonts w:ascii="Times New Roman" w:hAnsi="Times New Roman"/>
          <w:color w:val="000000"/>
          <w:sz w:val="24"/>
        </w:rPr>
        <w:t>This Warrant shall be exercisable, in whole or in part, at any time or from time to time, on or after the date hereof and ending at 5:00 p.m. Eastern Standard Time</w:t>
      </w:r>
      <w:r>
        <w:rPr>
          <w:color w:val="000000"/>
        </w:rPr>
        <w:t xml:space="preserve"> </w:t>
      </w:r>
      <w:r>
        <w:rPr>
          <w:rFonts w:ascii="Times New Roman" w:hAnsi="Times New Roman"/>
          <w:color w:val="000000"/>
          <w:sz w:val="24"/>
        </w:rPr>
        <w:t>on [●], 2033 (such period, the “</w:t>
      </w:r>
      <w:r>
        <w:rPr>
          <w:rFonts w:ascii="Times New Roman" w:hAnsi="Times New Roman"/>
          <w:b/>
          <w:color w:val="000000"/>
          <w:sz w:val="24"/>
        </w:rPr>
        <w:t>Exercise Period</w:t>
      </w:r>
      <w:r>
        <w:rPr>
          <w:color w:val="000000"/>
        </w:rPr>
        <w:t>”</w:t>
      </w:r>
      <w:r>
        <w:rPr>
          <w:rFonts w:ascii="Times New Roman" w:hAnsi="Times New Roman"/>
          <w:color w:val="000000"/>
          <w:sz w:val="24"/>
        </w:rPr>
        <w:t>, and such later date, the “</w:t>
      </w:r>
      <w:r>
        <w:rPr>
          <w:rFonts w:ascii="Times New Roman" w:hAnsi="Times New Roman"/>
          <w:b/>
          <w:color w:val="000000"/>
          <w:sz w:val="24"/>
        </w:rPr>
        <w:t>Expiration Date</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u w:val="single"/>
        </w:rPr>
        <w:t>Method of Exercise</w:t>
      </w:r>
      <w:r>
        <w:rPr>
          <w:rFonts w:ascii="Times New Roman" w:hAnsi="Times New Roman"/>
          <w:b/>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While this Warrant remains outstanding and exercisable in accordance with </w:t>
      </w:r>
      <w:r>
        <w:rPr>
          <w:rFonts w:ascii="Times New Roman" w:hAnsi="Times New Roman"/>
          <w:color w:val="000000"/>
          <w:sz w:val="24"/>
          <w:u w:val="single"/>
        </w:rPr>
        <w:t>Section 2</w:t>
      </w:r>
      <w:r>
        <w:rPr>
          <w:color w:val="000000"/>
        </w:rPr>
        <w:t xml:space="preserve"> </w:t>
      </w:r>
      <w:r>
        <w:rPr>
          <w:rFonts w:ascii="Times New Roman" w:hAnsi="Times New Roman"/>
          <w:color w:val="000000"/>
          <w:sz w:val="24"/>
        </w:rPr>
        <w:t>above, the Holder may exercise, in whole or in part, at any time or from time to time, the Warrant for all or any part of the Warrant Shares evidenced hereby. Such exercise shall only be effected 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surrender of this Warrant, together with a duly executed copy of the Notice of Exercise attached hereto as </w:t>
      </w:r>
      <w:r>
        <w:rPr>
          <w:rFonts w:ascii="Times New Roman" w:hAnsi="Times New Roman"/>
          <w:color w:val="000000"/>
          <w:sz w:val="24"/>
          <w:u w:val="single"/>
        </w:rPr>
        <w:t>Exhibit A</w:t>
      </w:r>
      <w:r>
        <w:rPr>
          <w:rFonts w:ascii="Times New Roman" w:hAnsi="Times New Roman"/>
          <w:color w:val="000000"/>
          <w:sz w:val="24"/>
        </w:rPr>
        <w:t xml:space="preserve">, to the Secretary of the Company (or its agent) via delivery in accordance with </w:t>
      </w:r>
      <w:r>
        <w:rPr>
          <w:rFonts w:ascii="Times New Roman" w:hAnsi="Times New Roman"/>
          <w:color w:val="000000"/>
          <w:sz w:val="24"/>
          <w:u w:val="single"/>
        </w:rPr>
        <w:t>Section 17</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either (A) the payment to the Company of an amount in cash equal to the aggregate Exercise Price for the number of Warrant Shares being purchased by wire transfer of immediately available funds to an account designated in writing by the Company, or (B) by instructing the Company in writing to withhold the number of Warrant Shares then issuable upon exercise of this Warrant having an aggregate fair market value as of the Exercise Date in accordance with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hereof equal to such aggregate Exercise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Notwithstanding the foregoing, or anything else herein to the contrary, this Warrant shall be deemed to have been automatically exercised in full by the Holder pursuant to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below on the date immediately prior to the Expiration Date if the fair market value of one Warrant Share is greater than the Exercise Price as of the Expiration Date, and the Warrant Shares issued upon such automatic exercise (and the Holder in respect thereof) shall be subject to the obligations of the stockholders, as a holder of Preferred Stock, under the Stockholder Agreements, as applicable, in connection therewith. In the event of a Change of Control, each of the Company and the Holder may elect, by giving written notice to the other party within fifteen (15) days prior to the closing of such Change of Control, to exchange this Warrant for the kind and amount of cash or securities payable at the closing of such Change of Control (the “</w:t>
      </w:r>
      <w:r>
        <w:rPr>
          <w:rFonts w:ascii="Times New Roman" w:hAnsi="Times New Roman"/>
          <w:b/>
          <w:color w:val="000000"/>
          <w:sz w:val="24"/>
        </w:rPr>
        <w:t>Sale Consideration</w:t>
      </w:r>
      <w:r>
        <w:rPr>
          <w:color w:val="000000"/>
        </w:rPr>
        <w:t>”</w:t>
      </w:r>
      <w:r>
        <w:rPr>
          <w:rFonts w:ascii="Times New Roman" w:hAnsi="Times New Roman"/>
          <w:color w:val="000000"/>
          <w:sz w:val="24"/>
        </w:rPr>
        <w:t>) which the Holder would have received with respect to the shares of Preferred Stock issuable upon the exercise of this Warrant if the Holder had exercised this Warrant on a cashless basis immediately prior to the occurrence of such Change of Control, and the Company had issued to such Holder a number of Warrant Shares computed using the following formula:</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Y (A - 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 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 The number of Warrant Shares deemed to have been issued to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 = The number of Warrant Shares purchasable under the unexercised portion of this Warrant (at the date of such calculation).</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 The amount of Sale Consideration payable per share of Preferred Stock pursuant to the Change of Control, (i) with such amount expressed in U.S. dollars and, if applicable, rounded to the nearest whole cent, and (ii) with any non-cash portion of such Sale Consideration valued at the value attributed thereto in the Change of Control.</w:t>
      </w:r>
    </w:p>
    <w:p>
      <w:pPr>
        <w:pStyle w:val="TextBody"/>
        <w:bidi w:val="0"/>
        <w:jc w:val="both"/>
        <w:rPr>
          <w:rFonts w:ascii="Times New Roman" w:hAnsi="Times New Roman"/>
          <w:color w:val="000000"/>
          <w:sz w:val="24"/>
        </w:rPr>
      </w:pPr>
      <w:r>
        <w:rPr>
          <w:rFonts w:ascii="Times New Roman" w:hAnsi="Times New Roman"/>
          <w:color w:val="000000"/>
          <w:sz w:val="24"/>
        </w:rPr>
        <w:t>B = The lesser of (i) the Exercise Price (as may be adjusted to the date of such calculation) and (ii) the Black Scholes Adjusted Exercise Price.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For the avoidance of doubt, this formula shall only apply in the event of a Change of Control.</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Upon the closing of any other merger, business combination or consolidation involving the Company that does not amount to a Change of Control, the acquiring, surviving or successor entity shall assume the obligations of this Warrant, and this Warrant shall thereafter be exercisable for the same securities and/or other property as would have been paid for the Warrant Shares issuable upon exercise of the unexercised portion of this Warrant as if such Warrant was exercised immediately prior to such other transaction in accordance with this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 xml:space="preserve">and the Warrant Shares were outstanding on and as of the closing of such other transaction, subject to further adjustment from time to time in accordance with the provisions of this Warrant. In connection with such other transaction, the Company and the Holder shall jointly appoint an Independent Financial Expert mutually acceptable to each party to calculate the related Black-Scholes Value. The calculation of the selected Independent Financial Expert shall be final and conclusive, and the fees and expenses of any such Independent Financial Expert shall be borne by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purposes of this Warrant: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color w:val="000000"/>
          <w:sz w:val="24"/>
        </w:rPr>
        <w:t>Black Scholes Adjusted Exercise Price</w:t>
      </w:r>
      <w:r>
        <w:rPr>
          <w:color w:val="000000"/>
        </w:rPr>
        <w:t xml:space="preserve">” </w:t>
      </w:r>
      <w:r>
        <w:rPr>
          <w:rFonts w:ascii="Times New Roman" w:hAnsi="Times New Roman"/>
          <w:color w:val="000000"/>
          <w:sz w:val="24"/>
        </w:rPr>
        <w:t xml:space="preserve">means if the Black Scholes Value Per Share is greater than the Current Value, an amount equal to the difference between (A) the then-current Exercise Price, </w:t>
      </w:r>
      <w:r>
        <w:rPr>
          <w:rFonts w:ascii="Times New Roman" w:hAnsi="Times New Roman"/>
          <w:color w:val="000000"/>
          <w:sz w:val="24"/>
          <w:u w:val="single"/>
        </w:rPr>
        <w:t>less</w:t>
      </w:r>
      <w:r>
        <w:rPr>
          <w:color w:val="000000"/>
        </w:rPr>
        <w:t xml:space="preserve"> </w:t>
      </w:r>
      <w:r>
        <w:rPr>
          <w:rFonts w:ascii="Times New Roman" w:hAnsi="Times New Roman"/>
          <w:color w:val="000000"/>
          <w:sz w:val="24"/>
        </w:rPr>
        <w:t xml:space="preserve">(B) an amount equal to the difference between (1) the Black Scholes Value Per Share, </w:t>
      </w:r>
      <w:r>
        <w:rPr>
          <w:rFonts w:ascii="Times New Roman" w:hAnsi="Times New Roman"/>
          <w:color w:val="000000"/>
          <w:sz w:val="24"/>
          <w:u w:val="single"/>
        </w:rPr>
        <w:t>less</w:t>
      </w:r>
      <w:r>
        <w:rPr>
          <w:color w:val="000000"/>
        </w:rPr>
        <w:t xml:space="preserve"> </w:t>
      </w:r>
      <w:r>
        <w:rPr>
          <w:rFonts w:ascii="Times New Roman" w:hAnsi="Times New Roman"/>
          <w:color w:val="000000"/>
          <w:sz w:val="24"/>
        </w:rPr>
        <w:t>(2) the Current Value. If the Black Scholes Value Per Share is equal to or less than the Current Value, there shall be no Black Scholes Adjusted Exercise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color w:val="000000"/>
        </w:rPr>
        <w:t>“</w:t>
      </w:r>
      <w:r>
        <w:rPr>
          <w:rFonts w:ascii="Times New Roman" w:hAnsi="Times New Roman"/>
          <w:b/>
          <w:color w:val="000000"/>
          <w:sz w:val="24"/>
        </w:rPr>
        <w:t>Black Scholes Value</w:t>
      </w:r>
      <w:r>
        <w:rPr>
          <w:color w:val="000000"/>
        </w:rPr>
        <w:t xml:space="preserve">” </w:t>
      </w:r>
      <w:r>
        <w:rPr>
          <w:rFonts w:ascii="Times New Roman" w:hAnsi="Times New Roman"/>
          <w:color w:val="000000"/>
          <w:sz w:val="24"/>
        </w:rPr>
        <w:t>means the fair market value of a Warrant on the date of consummation of such Change of Control in accordance with the Black</w:t>
        <w:noBreakHyphen/>
        <w:t>Scholes model for valuing options, using (A) a risk free rate equal to the annual yield on the U.S. Treasury security with a maturity date closest to the Expiration Date, as the yield on that security exists as of such date of consummation, (B) a term equal to the time in years (rounded to the nearest 1/1000</w:t>
      </w:r>
      <w:r>
        <w:rPr>
          <w:rFonts w:ascii="Times New Roman" w:hAnsi="Times New Roman"/>
          <w:color w:val="000000"/>
          <w:sz w:val="16"/>
        </w:rPr>
        <w:t>th</w:t>
      </w:r>
      <w:r>
        <w:rPr>
          <w:color w:val="000000"/>
        </w:rPr>
        <w:t xml:space="preserve"> </w:t>
      </w:r>
      <w:r>
        <w:rPr>
          <w:rFonts w:ascii="Times New Roman" w:hAnsi="Times New Roman"/>
          <w:color w:val="000000"/>
          <w:sz w:val="24"/>
        </w:rPr>
        <w:t>of a year) from such date of consummation until the Expiration Date, (C) an assumed volatility as determined by the Independent Financial Expert as of the date of consummation, (D) an underlying security price for the Preferred Stock of the value of the consideration received in such Change of Control in respect of each share of Preferred Stock as determined by the Independent Financial Expert as of the date of consummation, and (E) the aggregate number of shares of Preferred Stock for which such Warrant is then exercisable.</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color w:val="000000"/>
        </w:rPr>
        <w:t>“</w:t>
      </w:r>
      <w:r>
        <w:rPr>
          <w:rFonts w:ascii="Times New Roman" w:hAnsi="Times New Roman"/>
          <w:b/>
          <w:color w:val="000000"/>
          <w:sz w:val="24"/>
        </w:rPr>
        <w:t>Black Scholes Value Per Share</w:t>
      </w:r>
      <w:r>
        <w:rPr>
          <w:color w:val="000000"/>
        </w:rPr>
        <w:t xml:space="preserve">” </w:t>
      </w:r>
      <w:r>
        <w:rPr>
          <w:rFonts w:ascii="Times New Roman" w:hAnsi="Times New Roman"/>
          <w:color w:val="000000"/>
          <w:sz w:val="24"/>
        </w:rPr>
        <w:t>means with respect to any Warrant, the Black Scholes Value divided by the number of shares of the Preferred Stock for which the applicable Warrant is then exercisable (without giving effect to any reduction due to cashless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 xml:space="preserve">shall mean a “Deemed Liquidation Event” (as such term is defined in the Certificate) without giving effect to the rights of the “Requisite Holders” under Section 1.9.1 of the Certificate to elect otherwise by written notice received by the Company at least five (5) days prior to the effective date of any such event.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color w:val="000000"/>
        </w:rPr>
        <w:t>“</w:t>
      </w:r>
      <w:r>
        <w:rPr>
          <w:rFonts w:ascii="Times New Roman" w:hAnsi="Times New Roman"/>
          <w:b/>
          <w:color w:val="000000"/>
          <w:sz w:val="24"/>
        </w:rPr>
        <w:t>Current Value</w:t>
      </w:r>
      <w:r>
        <w:rPr>
          <w:color w:val="000000"/>
        </w:rPr>
        <w:t xml:space="preserve">” </w:t>
      </w:r>
      <w:r>
        <w:rPr>
          <w:rFonts w:ascii="Times New Roman" w:hAnsi="Times New Roman"/>
          <w:color w:val="000000"/>
          <w:sz w:val="24"/>
        </w:rPr>
        <w:t xml:space="preserve">means an amount equal to the difference between (A) the sum of (i) the cash consideration per share to be paid in respect of a share of Preferred Stock in the applicable Change of Control (if any),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 xml:space="preserve">(ii) the fair market value of the non-cash consideration to be paid with respect to each share of Preferred Stock in the applicable Change of Control (if any), </w:t>
      </w:r>
      <w:r>
        <w:rPr>
          <w:rFonts w:ascii="Times New Roman" w:hAnsi="Times New Roman"/>
          <w:color w:val="000000"/>
          <w:sz w:val="24"/>
          <w:u w:val="single"/>
        </w:rPr>
        <w:t>less</w:t>
      </w:r>
      <w:r>
        <w:rPr>
          <w:color w:val="000000"/>
        </w:rPr>
        <w:t xml:space="preserve"> </w:t>
      </w:r>
      <w:r>
        <w:rPr>
          <w:rFonts w:ascii="Times New Roman" w:hAnsi="Times New Roman"/>
          <w:color w:val="000000"/>
          <w:sz w:val="24"/>
        </w:rPr>
        <w:t>(B) the then current Exercise Price per share of Preferred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color w:val="000000"/>
        </w:rPr>
        <w:t>“</w:t>
      </w:r>
      <w:r>
        <w:rPr>
          <w:rFonts w:ascii="Times New Roman" w:hAnsi="Times New Roman"/>
          <w:b/>
          <w:color w:val="000000"/>
          <w:sz w:val="24"/>
        </w:rPr>
        <w:t>Exchange Act</w:t>
      </w:r>
      <w:r>
        <w:rPr>
          <w:color w:val="000000"/>
        </w:rPr>
        <w:t xml:space="preserve">” </w:t>
      </w:r>
      <w:r>
        <w:rPr>
          <w:rFonts w:ascii="Times New Roman" w:hAnsi="Times New Roman"/>
          <w:color w:val="000000"/>
          <w:sz w:val="24"/>
        </w:rPr>
        <w:t>means the Securities Exchange Act of 1934,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color w:val="000000"/>
        </w:rPr>
        <w:t>“</w:t>
      </w:r>
      <w:r>
        <w:rPr>
          <w:rFonts w:ascii="Times New Roman" w:hAnsi="Times New Roman"/>
          <w:b/>
          <w:color w:val="000000"/>
          <w:sz w:val="24"/>
        </w:rPr>
        <w:t>Independent Financial Expert</w:t>
      </w:r>
      <w:r>
        <w:rPr>
          <w:color w:val="000000"/>
        </w:rPr>
        <w:t xml:space="preserve">” </w:t>
      </w:r>
      <w:r>
        <w:rPr>
          <w:rFonts w:ascii="Times New Roman" w:hAnsi="Times New Roman"/>
          <w:color w:val="000000"/>
          <w:sz w:val="24"/>
        </w:rPr>
        <w:t xml:space="preserve">means any independent investment banking or financial valuation firm of nationally recognized standing (x) which does not (and whose directors, officers, employees and Affiliates, to the knowledge of the Company, do not) have a material direct or indirect financial interest in the Company or any of its Affiliates (other than by virtue of compensation paid for valuation or fairness advice or opinions to the Company or any of its Affiliates) and (y) which has not been, within the last two years, and, at the time it is called upon to give independent financial advice to the Company or any of its Affiliates, is not (and none of whose directors, officers, employees or Affiliates, to the knowledge of the Company, is) a promoter, director or officer of the Company or any of its Affiliates or an underwriter with respect to any of the securities of the Company or any of its Affiliates.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Each exercise of this Warrant shall be deemed to have been effected immediately prior to the close of business on the day (i) on which the Notice of Exercise is deemed to be delivered pursuant to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 xml:space="preserve">to the Company as provided in </w:t>
      </w:r>
      <w:r>
        <w:rPr>
          <w:rFonts w:ascii="Times New Roman" w:hAnsi="Times New Roman"/>
          <w:color w:val="000000"/>
          <w:sz w:val="24"/>
          <w:u w:val="single"/>
        </w:rPr>
        <w:t>Section 3(a)(i)</w:t>
      </w:r>
      <w:r>
        <w:rPr>
          <w:color w:val="000000"/>
        </w:rPr>
        <w:t xml:space="preserve"> </w:t>
      </w:r>
      <w:r>
        <w:rPr>
          <w:rFonts w:ascii="Times New Roman" w:hAnsi="Times New Roman"/>
          <w:color w:val="000000"/>
          <w:sz w:val="24"/>
        </w:rPr>
        <w:t xml:space="preserve">and payment has been made or a Net Exercise effected as provided in </w:t>
      </w:r>
      <w:r>
        <w:rPr>
          <w:rFonts w:ascii="Times New Roman" w:hAnsi="Times New Roman"/>
          <w:color w:val="000000"/>
          <w:sz w:val="24"/>
          <w:u w:val="single"/>
        </w:rPr>
        <w:t>Section 3(a)(ii)</w:t>
      </w:r>
      <w:r>
        <w:rPr>
          <w:color w:val="000000"/>
        </w:rPr>
        <w:t xml:space="preserve"> </w:t>
      </w:r>
      <w:r>
        <w:rPr>
          <w:rFonts w:ascii="Times New Roman" w:hAnsi="Times New Roman"/>
          <w:color w:val="000000"/>
          <w:sz w:val="24"/>
        </w:rPr>
        <w:t>or (ii) if a later date is specified in the Notice of Exercise, such later date (each such date, an “</w:t>
      </w:r>
      <w:r>
        <w:rPr>
          <w:rFonts w:ascii="Times New Roman" w:hAnsi="Times New Roman"/>
          <w:b/>
          <w:color w:val="000000"/>
          <w:sz w:val="24"/>
        </w:rPr>
        <w:t>Exercise Date</w:t>
      </w:r>
      <w:r>
        <w:rPr>
          <w:color w:val="000000"/>
        </w:rPr>
        <w:t>”</w:t>
      </w:r>
      <w:r>
        <w:rPr>
          <w:rFonts w:ascii="Times New Roman" w:hAnsi="Times New Roman"/>
          <w:color w:val="000000"/>
          <w:sz w:val="24"/>
        </w:rPr>
        <w:t xml:space="preserve">). At such time, the person or persons in whose name or names any certificate (or evidence of book-entry issuance) for the Warrant Shares shall be issuable upon such exercise as provided in </w:t>
      </w:r>
      <w:r>
        <w:rPr>
          <w:rFonts w:ascii="Times New Roman" w:hAnsi="Times New Roman"/>
          <w:color w:val="000000"/>
          <w:sz w:val="24"/>
          <w:u w:val="single"/>
        </w:rPr>
        <w:t>Section 3(f)</w:t>
      </w:r>
      <w:r>
        <w:rPr>
          <w:color w:val="000000"/>
        </w:rPr>
        <w:t xml:space="preserve"> </w:t>
      </w:r>
      <w:r>
        <w:rPr>
          <w:rFonts w:ascii="Times New Roman" w:hAnsi="Times New Roman"/>
          <w:color w:val="000000"/>
          <w:sz w:val="24"/>
        </w:rPr>
        <w:t xml:space="preserve">below (if any) shall be deemed to have become the holder or holders of record of the Warrant Shares represented by such certificate (or book-entry issuance).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As soon as practicable after the exercise of this Warrant in whole or in part, but in any event within five (5) business days,</w:t>
      </w:r>
      <w:r>
        <w:rPr>
          <w:color w:val="000000"/>
        </w:rPr>
        <w:t xml:space="preserve"> </w:t>
      </w:r>
      <w:r>
        <w:rPr>
          <w:rFonts w:ascii="Times New Roman" w:hAnsi="Times New Roman"/>
          <w:color w:val="000000"/>
          <w:sz w:val="24"/>
        </w:rPr>
        <w:t>the Company at its expense will cause to be issued in the name of, and delivered to, the Holder, or as such Holder (upon payment by such Holder of any applicable transfer taxes) may direct: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certificate or certificates (or, if the Warrant Shares are uncertificated, then evidence of the book-entry issuance) for the number of Warrant Shares to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which such Holder or other person(s) designated by the Holder shall be entitled pursuant hereto, and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in case such exercise is in part only, a new warrant or warrants (dated the date hereof) substantially identical in form hereto, providing for the number of Warrant Shares equal to the number of such Warrant Shares called for on the face of this Warrant minus the number of Warrant Shares purchased by the Holder upon all exercises made in accordance with this </w:t>
      </w:r>
      <w:r>
        <w:rPr>
          <w:rFonts w:ascii="Times New Roman" w:hAnsi="Times New Roman"/>
          <w:color w:val="000000"/>
          <w:sz w:val="24"/>
          <w:u w:val="single"/>
        </w:rPr>
        <w:t>Section 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The Company will pay all documentary stamp or other issuance taxes, if any, attributable to the issuance of Warrant Shares upon the exercise of this Warrant;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shall not be required to pay any income taxes, capital gains taxes, withholding taxes (including without limitation any amounts required to be withheld under Section 1441 or Section 1442 of the Internal Revenue Code of 1986, as amended (the “</w:t>
      </w:r>
      <w:r>
        <w:rPr>
          <w:rFonts w:ascii="Times New Roman" w:hAnsi="Times New Roman"/>
          <w:b/>
          <w:color w:val="000000"/>
          <w:sz w:val="24"/>
        </w:rPr>
        <w:t>Code</w:t>
      </w:r>
      <w:r>
        <w:rPr>
          <w:color w:val="000000"/>
        </w:rPr>
        <w:t>”</w:t>
      </w:r>
      <w:r>
        <w:rPr>
          <w:rFonts w:ascii="Times New Roman" w:hAnsi="Times New Roman"/>
          <w:color w:val="000000"/>
          <w:sz w:val="24"/>
        </w:rPr>
        <w:t>), or any corresponding provisions of state or local tax law), or tax or taxes which may be payable in respect of any transfer involved in the issuance or delivery of any Warrants or Warrant certificates (or evidence of book-entry issuances) or Warrant Shares in a name other than that of the then Holder as reflected upon the books of the Company.</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u w:val="single"/>
        </w:rPr>
        <w:t>Net Exercise</w:t>
      </w:r>
      <w:r>
        <w:rPr>
          <w:rFonts w:ascii="Times New Roman" w:hAnsi="Times New Roman"/>
          <w:color w:val="000000"/>
          <w:sz w:val="24"/>
        </w:rPr>
        <w:t>. In lieu of exercising this Warrant for cash, the Holder may elect to receive Preferred Stock equal to the value of this Warrant (or the portion thereof being exercised) by exercise of this Warrant in accordance with Section 3(a)(ii)(B) (a “Net Exercise”). A Holder who Net Exercises shall have the rights described in Section 3 hereof, and the Company shall issue to such Holder a number of Warrant Shares computed using the following formula:</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Y (A - 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 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 The number of Warrant Shares to be issued to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 = The number of Warrant Shares purchasable under this Warrant or, if only a portion of the Warrant is being exercised, the portion of the Warrant being cancelled (at the date of such calculation).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 The fair market value of one (1) Warrant Share (at the date of such calculation).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 The Exercise Price (as adjusted to the date of such calculation).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this </w:t>
      </w:r>
      <w:r>
        <w:rPr>
          <w:rFonts w:ascii="Times New Roman" w:hAnsi="Times New Roman"/>
          <w:color w:val="000000"/>
          <w:sz w:val="24"/>
          <w:u w:val="single"/>
        </w:rPr>
        <w:t>Section 4</w:t>
      </w:r>
      <w:r>
        <w:rPr>
          <w:rFonts w:ascii="Times New Roman" w:hAnsi="Times New Roman"/>
          <w:color w:val="000000"/>
          <w:sz w:val="24"/>
        </w:rPr>
        <w:t>, the fair market value of a Warrant Share shall mean (i) if shares of the Company’s common stock into which the Preferred Stock is convertible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are then traded or quoted on a nationally recognized securities exchange, inter-dealer quotation system or over-the-counter market (a “</w:t>
      </w:r>
      <w:r>
        <w:rPr>
          <w:rFonts w:ascii="Times New Roman" w:hAnsi="Times New Roman"/>
          <w:b/>
          <w:color w:val="000000"/>
          <w:sz w:val="24"/>
        </w:rPr>
        <w:t>Trading Market</w:t>
      </w:r>
      <w:r>
        <w:rPr>
          <w:rFonts w:ascii="Times New Roman" w:hAnsi="Times New Roman"/>
          <w:color w:val="000000"/>
          <w:sz w:val="20"/>
        </w:rPr>
        <w:t>”</w:t>
      </w:r>
      <w:r>
        <w:rPr>
          <w:rFonts w:ascii="Times New Roman" w:hAnsi="Times New Roman"/>
          <w:color w:val="000000"/>
          <w:sz w:val="24"/>
        </w:rPr>
        <w:t>), an amount equal to the product of (A) the closing price or last sale price of a share of Common Stock reported for the business day immediately before the date of determination (which, for the avoidance of doubt, in</w:t>
      </w:r>
      <w:r>
        <w:rPr>
          <w:rFonts w:ascii="Times New Roman" w:hAnsi="Times New Roman"/>
          <w:color w:val="000000"/>
          <w:sz w:val="20"/>
        </w:rPr>
        <w:t xml:space="preserve">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the case of a cashless exercise pursuant to this </w:t>
      </w:r>
      <w:r>
        <w:rPr>
          <w:rFonts w:ascii="Times New Roman" w:hAnsi="Times New Roman"/>
          <w:color w:val="000000"/>
          <w:sz w:val="24"/>
          <w:u w:val="single"/>
        </w:rPr>
        <w:t>Section 4</w:t>
      </w:r>
      <w:r>
        <w:rPr>
          <w:rFonts w:ascii="Times New Roman" w:hAnsi="Times New Roman"/>
          <w:color w:val="000000"/>
          <w:sz w:val="24"/>
        </w:rPr>
        <w:t xml:space="preserve">, shall be the date on which the Holder delivers its Notice of Exercise to the Company)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(B) the number of shares of Common Stock into which a Warrant Share is convertible at such time or (ii) if shares of Common Stock are not then traded in a Trading Market, the value determined in good faith by the Board of Directors of the Company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that if the Holder disagrees with the fair market value as determined by the Board, the Holder may require a determination of the fair market value to be made by a nationally recognized investment banking, accounting or valuation firm that is not affiliated with the Holder and which is mutually</w:t>
        <w:noBreakHyphen/>
        <w:t xml:space="preserve">agreed upon by the Company and the Holder, in which case, the determination of such firm shall be final and conclusive, and the fees and expenses of any such firm shall be borne by the Company. Notwithstanding the foregoing, in the event that this Warrant is exercised pursuant to this </w:t>
      </w:r>
      <w:r>
        <w:rPr>
          <w:rFonts w:ascii="Times New Roman" w:hAnsi="Times New Roman"/>
          <w:color w:val="000000"/>
          <w:sz w:val="24"/>
          <w:u w:val="single"/>
        </w:rPr>
        <w:t>Section 4</w:t>
      </w:r>
      <w:r>
        <w:rPr>
          <w:rFonts w:ascii="Times New Roman" w:hAnsi="Times New Roman"/>
          <w:color w:val="000000"/>
          <w:sz w:val="20"/>
        </w:rPr>
        <w:t xml:space="preserve"> </w:t>
      </w:r>
      <w:r>
        <w:rPr>
          <w:rFonts w:ascii="Times New Roman" w:hAnsi="Times New Roman"/>
          <w:color w:val="000000"/>
          <w:sz w:val="24"/>
        </w:rPr>
        <w:t xml:space="preserve">in connection with the Company’s initial public offering, the fair market value per Warrant Share shall be an amount equal to the product of (x) the offering price per share of Common Stock to the public of the Company’s initial public offering,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(y) the number of shares of Common Stock into which a Warrant Share is convertible at such time.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u w:val="single"/>
        </w:rPr>
        <w:t>Investment Representations</w:t>
      </w:r>
      <w:r>
        <w:rPr>
          <w:rFonts w:ascii="Times New Roman" w:hAnsi="Times New Roman"/>
          <w:b/>
          <w:color w:val="000000"/>
          <w:sz w:val="24"/>
        </w:rPr>
        <w:t xml:space="preserve">. </w:t>
      </w:r>
      <w:r>
        <w:rPr>
          <w:rFonts w:ascii="Times New Roman" w:hAnsi="Times New Roman"/>
          <w:color w:val="000000"/>
          <w:sz w:val="24"/>
        </w:rPr>
        <w:t xml:space="preserve">The Holder represents and warrants to the Company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Investment</w:t>
      </w:r>
      <w:r>
        <w:rPr>
          <w:rFonts w:ascii="Times New Roman" w:hAnsi="Times New Roman"/>
          <w:color w:val="000000"/>
          <w:sz w:val="24"/>
        </w:rPr>
        <w:t>. The Holder is acquiring this Warrant, and (if and when it exercises this Warrant) it will acquire the Warrant Shares, for its own account for investment and not with a view to, or for sale in connection with, any distribution thereof, nor with any present intention of distributing or selling the same; and the Holder has no present or contemplated agreement, undertaking, arrangement, obligation, indebtedness or commitment providing for the disposition thereof. The Holder is able to bear the economic risk of the Holder’s investment in this Warrant and the Warrant Shares for an indefinite period of time because this Warrant and the Warrant Shares have not been registered under the Act and, therefore, cannot be sold unless subsequently registered under the Act or an exemption from such registration is available.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Accredited Investor</w:t>
      </w:r>
      <w:r>
        <w:rPr>
          <w:rFonts w:ascii="Times New Roman" w:hAnsi="Times New Roman"/>
          <w:color w:val="000000"/>
          <w:sz w:val="24"/>
        </w:rPr>
        <w:t>. The Holder is an “accredited investor” as defined in Rule 501(a) under the Act, is sophisticated in financial matters and is able to evaluate the risks and benefits of the investment in this Warrant and the Warrant Shares. Holder is not acquiring this Warrant or the Warrant Shares as a result of or subsequent to any advertisement, article, notice or other communication published in any newspaper, magazine, internet publication or similar media or broadcast over television, radio or the internet or presented at any public seminar or meeting.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Experience</w:t>
      </w:r>
      <w:r>
        <w:rPr>
          <w:rFonts w:ascii="Times New Roman" w:hAnsi="Times New Roman"/>
          <w:color w:val="000000"/>
          <w:sz w:val="24"/>
        </w:rPr>
        <w:t xml:space="preserve">. The Holder has made such inquiry concerning the Company and its business and personnel as it has deemed appropriate; and the Holder has sufficient knowledge and experience in finance and business that it is capable of evaluating the risks and merits of its investment in the Company. Holder has had the opportunity to consult its own tax counsel as to the U.S., federal, state, local and foreign tax consequences of the transactions contemplated by this Warrant and each of the other agreements contemplated hereby and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acknowledges that neither the Company nor any of its Affiliates has made any representations or covenants regarding such tax consequences or benefits upon which the Holder has relied.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 Foreign Person</w:t>
      </w:r>
      <w:r>
        <w:rPr>
          <w:rFonts w:ascii="Times New Roman" w:hAnsi="Times New Roman"/>
          <w:color w:val="000000"/>
          <w:sz w:val="24"/>
        </w:rPr>
        <w:t>. The Holder is not, is not acting and will not act on behalf of, and shall not become, a “foreign person” as defined in 31 C.F.R. § 800.224.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Enforceability</w:t>
      </w:r>
      <w:r>
        <w:rPr>
          <w:rFonts w:ascii="Times New Roman" w:hAnsi="Times New Roman"/>
          <w:color w:val="000000"/>
          <w:sz w:val="24"/>
        </w:rPr>
        <w:t>. This Warrant and each of the other agreements contemplated hereby constitute (or will constitute) the legal, valid and binding obligation of such Holder, enforceable against it in accordance with its terms, except as enforceability may be limited by bankruptcy laws, other similar laws affecting creditors’ rights and general principles of equity affecting the availability of specific performance and other equitable remedies.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Power and Authority</w:t>
      </w:r>
      <w:r>
        <w:rPr>
          <w:rFonts w:ascii="Times New Roman" w:hAnsi="Times New Roman"/>
          <w:color w:val="000000"/>
          <w:sz w:val="24"/>
        </w:rPr>
        <w:t xml:space="preserve">. The Holder has all requisite power and authority and has taken all required limited liability company or other applicable action necessary to execute and deliver this Warrant and to carry out the terms of this Warrant. Each of the Warrant and the other agreements to which the Holder is a party has been duly executed and delivered by such Holder and, assuming the due authorization, execution and delivery hereof and thereof by the other signatories hereto and thereto, constitutes a valid and binding obligation of such Holder, enforceable against such Holder in accordance with its terms.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 Conflict</w:t>
      </w:r>
      <w:r>
        <w:rPr>
          <w:rFonts w:ascii="Times New Roman" w:hAnsi="Times New Roman"/>
          <w:color w:val="000000"/>
          <w:sz w:val="24"/>
        </w:rPr>
        <w:t>. The execution, delivery, and performance of this Warrant, and the consummation of the transactions contemplated hereby, do not and will not (i) conflict with or result in a breach of the terms, conditions or provisions of, (ii) constitute a default under, (iii) give any third party the right to modify, terminate or accelerate any obligation under, (iv) result in a violation of or (v) require any authorization, consent, approval, exemption or other action by or notice to any court or administrative or governmental body pursuant to, any law, statute, rule or regulation to which the Holder is subject, or any agreement, instrument, order, judgment or decree to which the Holder is a party or by which the Holder is bound. There are no lawsuits, claims, proceedings, investigations, injunctions, judgments, orders or decrees pending or, to the Holder’s knowledge, threatened against or affecting Holder that would delay, hinder or prevent the consummation of the transactions contemplated by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Additional Issuances</w:t>
      </w:r>
      <w:r>
        <w:rPr>
          <w:rFonts w:ascii="Times New Roman" w:hAnsi="Times New Roman"/>
          <w:color w:val="000000"/>
          <w:sz w:val="24"/>
        </w:rPr>
        <w:t>. The Holder acknowledges and agrees that there may be additional issuances of equity securities of the Company after the date hereof, and the Warrant Shares may be diluted in connection with any such issuance, which such issuances shall be subject to the terms of this Warrant and the Stockholder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No Other Representations</w:t>
      </w:r>
      <w:r>
        <w:rPr>
          <w:rFonts w:ascii="Times New Roman" w:hAnsi="Times New Roman"/>
          <w:color w:val="000000"/>
          <w:sz w:val="24"/>
        </w:rPr>
        <w:t>. Other than the representations and warranties expressly set forth herein, the determination of the Holder to invest in and acquire interests in the Company has been made by the Holder independent of any statements or opinions as to the advisability of such investment or as to the properties, business, prospects (including potential valuations upon a liquidity event or the likelihood of a liquidity event ever occurring) or condition (financial or otherwise) of the Company and the Company’s subsidiaries which may have been made or given by the Company or any of its Affiliates or any agent or employee of the Company, any of its Affiliates, or their representatives.</w:t>
      </w:r>
      <w:r>
        <w:rPr>
          <w:color w:val="000000"/>
        </w:rPr>
        <w:t xml:space="preserve"> </w:t>
      </w:r>
      <w:r>
        <w:rPr>
          <w:rFonts w:ascii="Times New Roman" w:hAnsi="Times New Roman"/>
          <w:color w:val="000000"/>
          <w:sz w:val="24"/>
        </w:rPr>
        <w:t xml:space="preserve">The Holder acknowledges and agrees that neither the Company nor any of its Affiliates has made, and Holder is not relying on, any representation or warranty, express or implied, to Holder or any of its Affiliates in connection with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transactions contemplated hereby and the Stockholders Agreements except for the representations and warranties made by the Company to Holder expressly set forth in this Warrant and the Stockholders Agreements, and Holder disclaims all such other representations and warranties.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u w:val="single"/>
        </w:rPr>
        <w:t>Covenants and Representations of the Company</w:t>
      </w:r>
      <w:r>
        <w:rPr>
          <w:rFonts w:ascii="Times New Roman" w:hAnsi="Times New Roman"/>
          <w:b/>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Notices of Record Date</w:t>
      </w:r>
      <w:r>
        <w:rPr>
          <w:rFonts w:ascii="Times New Roman" w:hAnsi="Times New Roman"/>
          <w:color w:val="000000"/>
          <w:sz w:val="24"/>
        </w:rPr>
        <w:t xml:space="preserve">. In the event of any taking by the Company of a record of the holders of any class of shares for the purpose of determining the holders thereof who are entitled to receive any dividend or other distribution, the Company shall mail to the Holder, at least ten (10) days prior to such record date, a notice specifying the date on which any such record is to be taken for the purpose of such dividend or distribution. At least ten (10) days prior to the consummation of any voluntary or involuntary liquidation, dissolution or winding up of the Company or Change of Control, the Company shall provide written notice thereof to the Holder.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Covenants as to Exercise of Shares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covenants and agrees that the Warrant Shares that may be issued upon the exercise of the rights represented by this Warrant will, upon issuance in accordance with the terms hereof, be validly issued, fully paid and non-assessable, and, except as required by law, free from all liens and similar charges with respect to the issuance thereof.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at all times reserve and keep available, solely for issuance and delivery upon the exercise of this Warrant, such number of shares of Preferred Stock and other securities, cash and/or property, as from time to time shall be issuable upon the exercise of this Warrant. If at any time during the Exercise Period the number of shares of Preferred Stock permitted under the Certificate shall not be sufficient to permit exercise of this Warrant, the Company will take all corporate action as may be necessary or appropriate, in the opinion of its counsel, to validly and legally issue Preferred Stock upon the exercise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Assuming the representations and warranties of the Holder set forth in </w:t>
      </w:r>
      <w:r>
        <w:rPr>
          <w:rFonts w:ascii="Times New Roman" w:hAnsi="Times New Roman"/>
          <w:color w:val="000000"/>
          <w:sz w:val="24"/>
          <w:u w:val="single"/>
        </w:rPr>
        <w:t>Section 5</w:t>
      </w:r>
      <w:r>
        <w:rPr>
          <w:color w:val="000000"/>
        </w:rPr>
        <w:t xml:space="preserve"> </w:t>
      </w:r>
      <w:r>
        <w:rPr>
          <w:rFonts w:ascii="Times New Roman" w:hAnsi="Times New Roman"/>
          <w:color w:val="000000"/>
          <w:sz w:val="24"/>
        </w:rPr>
        <w:t xml:space="preserve">hereof are true and correct, the Company will use commercially reasonable efforts to ensure that all such Warrant Shares are issued without violation by the Company of any applicable law or governmental regulation or any requirements of any domestic securities exchange upon which shares of Preferred Stock, Common Stock or other securities constituting Warrant Shares may be listed at the time of such exercise (except for official notice of issuance which will be immediately delivered by the Company upon each such issuance).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 Impairment</w:t>
      </w:r>
      <w:r>
        <w:rPr>
          <w:rFonts w:ascii="Times New Roman" w:hAnsi="Times New Roman"/>
          <w:color w:val="000000"/>
          <w:sz w:val="24"/>
        </w:rPr>
        <w:t xml:space="preserve">. Except and to the extent waived or consented to by the Holder or as required by law or by an order of a court, the Company will not, by amendment of its Certificate or Bylaws or through any reorganization, transfer of assets, consolidation, merger, dissolution, issue or sale of capital stock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exercise rights of the Holder against impairment. In connection therewith, upon any exercise of this Warrant, the Company may require customary investment representations from the Holder to assure that the issuance of the Warrant Shares hereunder shall not require registration or qualification under such law, regulation or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Representations of the Company</w:t>
      </w:r>
      <w:r>
        <w:rPr>
          <w:rFonts w:ascii="Times New Roman" w:hAnsi="Times New Roman"/>
          <w:color w:val="000000"/>
          <w:sz w:val="24"/>
        </w:rPr>
        <w:t xml:space="preserve">. The Company represents and warrants to the Holder that, as of the date hereof: (i) the equity interests of the Company that are issued and outstanding immediately prior to the date hereof are set forth in </w:t>
      </w:r>
      <w:r>
        <w:rPr>
          <w:rFonts w:ascii="Times New Roman" w:hAnsi="Times New Roman"/>
          <w:color w:val="000000"/>
          <w:sz w:val="24"/>
          <w:u w:val="single"/>
        </w:rPr>
        <w:t>Schedule I</w:t>
      </w:r>
      <w:r>
        <w:rPr>
          <w:color w:val="000000"/>
        </w:rPr>
        <w:t xml:space="preserve"> </w:t>
      </w:r>
      <w:r>
        <w:rPr>
          <w:rFonts w:ascii="Times New Roman" w:hAnsi="Times New Roman"/>
          <w:color w:val="000000"/>
          <w:sz w:val="24"/>
        </w:rPr>
        <w:t xml:space="preserve">and such equity interests are validly issued, free from preemptive rights, liens and charges (other than liens or charges created by or imposed by the holder thereof), and, except as would not reasonably be expected to result in a material liability to the Company, were issued in compliance with applicable state and federal securities laws or exceptions therefrom; (ii) except as set forth in </w:t>
      </w:r>
      <w:r>
        <w:rPr>
          <w:rFonts w:ascii="Times New Roman" w:hAnsi="Times New Roman"/>
          <w:color w:val="000000"/>
          <w:sz w:val="24"/>
          <w:u w:val="single"/>
        </w:rPr>
        <w:t>Schedule I</w:t>
      </w:r>
      <w:r>
        <w:rPr>
          <w:color w:val="000000"/>
        </w:rPr>
        <w:t xml:space="preserve"> </w:t>
      </w:r>
      <w:r>
        <w:rPr>
          <w:rFonts w:ascii="Times New Roman" w:hAnsi="Times New Roman"/>
          <w:color w:val="000000"/>
          <w:sz w:val="24"/>
        </w:rPr>
        <w:t>or as referenced in the Certificate, the Company does not have any other stock, phantom stock or other equity interests authorized, issued or outstanding, and no Person has any rights (including conversion or preemptive rights and rights of first refusal or similar rights), options or warrants outstanding or other agreements, arrangements, obligations, convertible or exchangeable securities or other commitments (orally or in writing, contingent or otherwise), in each case, pursuant to which such Person has the direct or indirect right to purchase or acquire (contingently or otherwise), or obligating the Company to issue or grant (contingently or otherwise), any stock, phantom stock or other equity interests of the Company; and (iii) except for the Certificate, that certain Fifth Amended and Restated Investors’ Rights Agreement of the Company, dated as of the date hereof, by and among the Company and the other parties named therein (as the same may be amended, restated or amended and restated, the “</w:t>
      </w:r>
      <w:r>
        <w:rPr>
          <w:rFonts w:ascii="Times New Roman" w:hAnsi="Times New Roman"/>
          <w:b/>
          <w:color w:val="000000"/>
          <w:sz w:val="24"/>
        </w:rPr>
        <w:t>Investors’ Rights Agreement</w:t>
      </w:r>
      <w:r>
        <w:rPr>
          <w:color w:val="000000"/>
        </w:rPr>
        <w:t>”</w:t>
      </w:r>
      <w:r>
        <w:rPr>
          <w:rFonts w:ascii="Times New Roman" w:hAnsi="Times New Roman"/>
          <w:color w:val="000000"/>
          <w:sz w:val="24"/>
        </w:rPr>
        <w:t>), that certain Fifth Amended and Restated Right of First Refusal and Co-Sale Agreement of the Company, dated as of the date hereof, by and among the Company and the other parties named therein (as the same may be amended, restated or amended and restated, the “</w:t>
      </w:r>
      <w:r>
        <w:rPr>
          <w:rFonts w:ascii="Times New Roman" w:hAnsi="Times New Roman"/>
          <w:b/>
          <w:color w:val="000000"/>
          <w:sz w:val="24"/>
        </w:rPr>
        <w:t>ROFR and Co-Sale Agreement</w:t>
      </w:r>
      <w:r>
        <w:rPr>
          <w:color w:val="000000"/>
        </w:rPr>
        <w:t>”</w:t>
      </w:r>
      <w:r>
        <w:rPr>
          <w:rFonts w:ascii="Times New Roman" w:hAnsi="Times New Roman"/>
          <w:color w:val="000000"/>
          <w:sz w:val="24"/>
        </w:rPr>
        <w:t>) and that certain Sixth Amended and Restated Voting Agreement, dated as of the date hereof, by and among the Company and the other parties named therein (as the same may be amended, restated or amended and restated, the “</w:t>
      </w:r>
      <w:r>
        <w:rPr>
          <w:rFonts w:ascii="Times New Roman" w:hAnsi="Times New Roman"/>
          <w:b/>
          <w:color w:val="000000"/>
          <w:sz w:val="24"/>
        </w:rPr>
        <w:t>Voting Agreement</w:t>
      </w:r>
      <w:r>
        <w:rPr>
          <w:color w:val="000000"/>
        </w:rPr>
        <w:t>”</w:t>
      </w:r>
      <w:r>
        <w:rPr>
          <w:rFonts w:ascii="Times New Roman" w:hAnsi="Times New Roman"/>
          <w:color w:val="000000"/>
          <w:sz w:val="24"/>
        </w:rPr>
        <w:t>, and together with the Certificate, ROFR and Co-Sale Agreement and the Investors’ Rights Agreement, the “</w:t>
      </w:r>
      <w:r>
        <w:rPr>
          <w:rFonts w:ascii="Times New Roman" w:hAnsi="Times New Roman"/>
          <w:b/>
          <w:color w:val="000000"/>
          <w:sz w:val="24"/>
        </w:rPr>
        <w:t>Stockholder Agreements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 xml:space="preserve">covering matters set forth in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 xml:space="preserve">above, and the transactions relating to that certain Share Purchase Agreement, dated as of June 8, 2023, by and among the Company, Firefly Aerospace, Inc. and M&amp;Y Space Co., Ltd., there are no contracts, agreements, arrangements or undertakings (whether written or oral) relating to the transfer, registration or voting of any of the equity securities or other securities of the Company.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u w:val="single"/>
        </w:rPr>
        <w:t>Information Rights; Certain Agreements</w:t>
      </w:r>
      <w:r>
        <w:rPr>
          <w:rFonts w:ascii="Times New Roman" w:hAnsi="Times New Roman"/>
          <w:b/>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Delivery of Financial Statements</w:t>
      </w:r>
      <w:r>
        <w:rPr>
          <w:rFonts w:ascii="Times New Roman" w:hAnsi="Times New Roman"/>
          <w:color w:val="000000"/>
          <w:sz w:val="24"/>
        </w:rPr>
        <w:t>. As long as the Holder owns the right to purchase a majority of the Warrant Shares under this Warrant or if this Warrant (or any portion hereof) has been exercised, holds a majority of the Preferred Stock resulting from the exercise thereof, the Company shall deliver to the Holder</w:t>
      </w:r>
      <w:r>
        <w:rPr>
          <w:color w:val="000000"/>
        </w:rPr>
        <w:t xml:space="preserve"> </w:t>
      </w:r>
      <w:r>
        <w:rPr>
          <w:rFonts w:ascii="Times New Roman" w:hAnsi="Times New Roman"/>
          <w:color w:val="000000"/>
          <w:sz w:val="24"/>
        </w:rPr>
        <w:t xml:space="preserve">the same information required to be delivered to an Institutional Investor (as defined in the Investors’ Rights Agreement) pursuant to the Investors’ Rights Agreement, and Holder shall otherwise have the same rights, subject to the same obligations, as an Institutional Investor under Section 3 of the Investors’ Rights Agreement. </w:t>
      </w:r>
    </w:p>
    <w:tbl>
      <w:tblPr>
        <w:tblW w:w="728" w:type="dxa"/>
        <w:jc w:val="left"/>
        <w:tblInd w:w="0" w:type="dxa"/>
        <w:tblLayout w:type="fixed"/>
        <w:tblCellMar>
          <w:top w:w="28" w:type="dxa"/>
          <w:left w:w="28" w:type="dxa"/>
          <w:bottom w:w="28" w:type="dxa"/>
          <w:right w:w="28" w:type="dxa"/>
        </w:tblCellMar>
      </w:tblPr>
      <w:tblGrid>
        <w:gridCol w:w="161"/>
        <w:gridCol w:w="3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Confidentiality</w:t>
      </w:r>
      <w:r>
        <w:rPr>
          <w:rFonts w:ascii="Times New Roman" w:hAnsi="Times New Roman"/>
          <w:color w:val="000000"/>
          <w:sz w:val="24"/>
        </w:rPr>
        <w:t xml:space="preserve">. The Holder agrees to keep confidential and not disclose, divulge, or use for any purpose (other than to monitor its investment in the Company) any confidential information obtained from the Company pursuant to the terms of this Warrant and/or the IRS, unless such confidential information (i) is known or becomes known to the public in general (other than as a result of a breach of this </w:t>
      </w:r>
      <w:r>
        <w:rPr>
          <w:rFonts w:ascii="Times New Roman" w:hAnsi="Times New Roman"/>
          <w:color w:val="000000"/>
          <w:sz w:val="24"/>
          <w:u w:val="single"/>
        </w:rPr>
        <w:t>Section 7(b)</w:t>
      </w:r>
      <w:r>
        <w:rPr>
          <w:color w:val="000000"/>
        </w:rPr>
        <w:t xml:space="preserve"> </w:t>
      </w:r>
      <w:r>
        <w:rPr>
          <w:rFonts w:ascii="Times New Roman" w:hAnsi="Times New Roman"/>
          <w:color w:val="000000"/>
          <w:sz w:val="24"/>
        </w:rPr>
        <w:t xml:space="preserve">by the Holder), (ii) is or has been independently developed or conceived by the Holder without use of the Company’s confidential information, or (iii) is or has been made known or disclosed to the Holder by a third party without, to the Holder’s knowledge, a breach of any obligation of confidentiality such third party may have to the Company;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Holder may disclose confidential information (A) to its attorneys, accountants, consultants, and other professionals to the extent necessary to obtain their services in connection with monitoring its investment in the Company, but only as long as the Holder informs such person that such information is confidential and directs such person to maintain the confidentiality of such information; (B) to any prospective purchaser of any stock from the Holder, if such prospective purchaser agrees to be bound by the provisions of this </w:t>
      </w:r>
      <w:r>
        <w:rPr>
          <w:rFonts w:ascii="Times New Roman" w:hAnsi="Times New Roman"/>
          <w:color w:val="000000"/>
          <w:sz w:val="24"/>
          <w:u w:val="single"/>
        </w:rPr>
        <w:t>Section 7(b)</w:t>
      </w:r>
      <w:r>
        <w:rPr>
          <w:rFonts w:ascii="Times New Roman" w:hAnsi="Times New Roman"/>
          <w:color w:val="000000"/>
          <w:sz w:val="24"/>
        </w:rPr>
        <w:t xml:space="preserve">; or (C) as may otherwise be required by law, rule or regulation;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to the extent legally permissible, the Holder promptly notifies the Company of such disclosure and takes commercially reasonable steps to minimize the extent of any such required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Certain Agreements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long as the Holder owns the right to purchase a majority of the Warrant Shares under this Warrant or if this Warrant (or any portion hereof) has been exercised, holds a majority of the Preferred Stock resulting from the exercise thereof, the Company shall deliver to the Holder: (A) any notice required to be delivered to an “Investor” pursuant to Section 2.1 and Section 2.2 of the ROFR and Co-Sale Agreement, and (B) a notice of any offer of New Securities (as defined in the Investors’ Rights Agreement) offered to each “Major Investor” pursuant to Section 5 of the Investors’ Rights Agreement, concurrently with any offer to a “Major Investor” in accordance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any exercise of this Warrant and solely with respect to the Warrant Shares issued thereupon, Holder shall have the benefit and shall be subject to the obligations of (A) the ROFR and Co-Sale Agreement, (B) the Investors’ Rights Agreement, and (C) the Voting Agreement, in which case Holder shall, effective upon such exercise, automatically become bound as an “Investor”, “Major Investor” or “Stockholder” party under (if and as applicable), and the Warrant Shares issued upon such exercise shall automatically become subject to, such Stockholder Agreements. Holder shall, at the time of the initial exercise of this Warrant deliver to Company, executed joinders to each of (A) the ROFR and Co-Sale Agreement, (B) the Investors’ Rights Agreement, and (C) the Voting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Except as expressly provided in this </w:t>
      </w:r>
      <w:r>
        <w:rPr>
          <w:rFonts w:ascii="Times New Roman" w:hAnsi="Times New Roman"/>
          <w:color w:val="000000"/>
          <w:sz w:val="24"/>
          <w:u w:val="single"/>
        </w:rPr>
        <w:t>Section 7(c)</w:t>
      </w:r>
      <w:r>
        <w:rPr>
          <w:rFonts w:ascii="Times New Roman" w:hAnsi="Times New Roman"/>
          <w:color w:val="000000"/>
          <w:sz w:val="24"/>
        </w:rPr>
        <w:t xml:space="preserve">, the Holder shall not be entitled to vote or receive any allocations or distributions or be deemed the holder of Preferred Stock or any other securities of the Company which may at any time be issuable for any purpose as a result of this Warrant. Without limiting the provisions of </w:t>
      </w:r>
      <w:r>
        <w:rPr>
          <w:rFonts w:ascii="Times New Roman" w:hAnsi="Times New Roman"/>
          <w:color w:val="000000"/>
          <w:sz w:val="24"/>
          <w:u w:val="single"/>
        </w:rPr>
        <w:t>Section 8</w:t>
      </w:r>
      <w:r>
        <w:rPr>
          <w:rFonts w:ascii="Times New Roman" w:hAnsi="Times New Roman"/>
          <w:color w:val="000000"/>
          <w:sz w:val="24"/>
        </w:rPr>
        <w:t xml:space="preserve">, until this Warrant shall have been exercised and the Warrant Shares receivable upon the exercise of this Warrant shall have become deliverable, nothing contained in this Warrant shall be construed to confer upon the Holder: (i) any of the rights of a stockholder of the Company; (ii) any right to vote upon any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matter submitted to the stockholders at any meeting of the Company or to receive notice of meetings; or (iii) any right to receive allocations, distributions or otherwise.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u w:val="single"/>
        </w:rPr>
        <w:t>Adjustment of Exercise Price and Number of Warrant Shares</w:t>
      </w:r>
      <w:r>
        <w:rPr>
          <w:rFonts w:ascii="Times New Roman" w:hAnsi="Times New Roman"/>
          <w:b/>
          <w:color w:val="000000"/>
          <w:sz w:val="24"/>
        </w:rPr>
        <w:t xml:space="preserve">. </w:t>
      </w:r>
      <w:r>
        <w:rPr>
          <w:rFonts w:ascii="Times New Roman" w:hAnsi="Times New Roman"/>
          <w:color w:val="000000"/>
          <w:sz w:val="24"/>
        </w:rPr>
        <w:t xml:space="preserve">During the time this Warrant is outstanding, the number and kind of Warrant Shares purchasable upon exercise of this Warrant and the Exercise Price shall be subject to adjustment from time to time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Subdivisions, Combinations and Other Issuances</w:t>
      </w:r>
      <w:r>
        <w:rPr>
          <w:rFonts w:ascii="Times New Roman" w:hAnsi="Times New Roman"/>
          <w:color w:val="000000"/>
          <w:sz w:val="24"/>
        </w:rPr>
        <w:t>. If the Company shall at any time during the Exercise Period subdivide its Preferred Stock, by split</w:t>
        <w:noBreakHyphen/>
        <w:t>up or otherwise, or combine its Preferred Stock, or issue Preferred Stock (including any right, option, warrant or other security or evidence of indebtedness in each case convertible into, or exercisable or exchangeable for, directly or indirectly, any Preferred Stock or other equity or voting interest issued by the Company that is convertible into, or exercisable or exchangeable for, directly or indirectly, Preferred Stock (“</w:t>
      </w:r>
      <w:r>
        <w:rPr>
          <w:rFonts w:ascii="Times New Roman" w:hAnsi="Times New Roman"/>
          <w:b/>
          <w:color w:val="000000"/>
          <w:sz w:val="24"/>
        </w:rPr>
        <w:t>Convertible Securities</w:t>
      </w:r>
      <w:r>
        <w:rPr>
          <w:color w:val="000000"/>
        </w:rPr>
        <w:t>”</w:t>
      </w:r>
      <w:r>
        <w:rPr>
          <w:rFonts w:ascii="Times New Roman" w:hAnsi="Times New Roman"/>
          <w:color w:val="000000"/>
          <w:sz w:val="24"/>
        </w:rPr>
        <w:t xml:space="preserve">)) as a dividend or distribution with respect to any of the equity interests of the Company, the number of Warrant Shares issuable on the exercise of this Warrant shall forthwith be proportionately increased in the case of a subdivision or equity interest distribution, or proportionately decreased in the case of a combination. Appropriate adjustments shall also be proportionately made to the Exercise Price payable per share, but the aggregate Exercise Price payable for the total number of Warrant Shares purchasable under this Warrant (as adjusted) shall remain the same. Any adjustment under this </w:t>
      </w:r>
      <w:r>
        <w:rPr>
          <w:rFonts w:ascii="Times New Roman" w:hAnsi="Times New Roman"/>
          <w:color w:val="000000"/>
          <w:sz w:val="24"/>
          <w:u w:val="single"/>
        </w:rPr>
        <w:t>Section 8(a)</w:t>
      </w:r>
      <w:r>
        <w:rPr>
          <w:color w:val="000000"/>
        </w:rPr>
        <w:t xml:space="preserve"> </w:t>
      </w:r>
      <w:r>
        <w:rPr>
          <w:rFonts w:ascii="Times New Roman" w:hAnsi="Times New Roman"/>
          <w:color w:val="000000"/>
          <w:sz w:val="24"/>
        </w:rPr>
        <w:t>shall become effective at the close of business on the date the subdivision or combination becomes effective, or as of the record date of such dividend or distribution, or if no record date is fixed, upon the making of such dividend or distribution.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Reclassification, Reorganization and Consolidation</w:t>
      </w:r>
      <w:r>
        <w:rPr>
          <w:rFonts w:ascii="Times New Roman" w:hAnsi="Times New Roman"/>
          <w:color w:val="000000"/>
          <w:sz w:val="24"/>
        </w:rPr>
        <w:t xml:space="preserve">. In case of any reclassification, capital reorganization or recapitalization of the equity interests of the Company (other than as a result of a subdivision, combination or equity interest dividend provided for in </w:t>
      </w:r>
      <w:r>
        <w:rPr>
          <w:rFonts w:ascii="Times New Roman" w:hAnsi="Times New Roman"/>
          <w:color w:val="000000"/>
          <w:sz w:val="24"/>
          <w:u w:val="single"/>
        </w:rPr>
        <w:t>Section 8(a)</w:t>
      </w:r>
      <w:r>
        <w:rPr>
          <w:color w:val="000000"/>
        </w:rPr>
        <w:t xml:space="preserve"> </w:t>
      </w:r>
      <w:r>
        <w:rPr>
          <w:rFonts w:ascii="Times New Roman" w:hAnsi="Times New Roman"/>
          <w:color w:val="000000"/>
          <w:sz w:val="24"/>
        </w:rPr>
        <w:t xml:space="preserve">above), then lawful provision shall be made, and duly executed documents evidencing the same from the Company or its successor shall be delivered to the Holder, so that the Holder shall have the right at any time prior to the expiration of this Warrant to purchase, at a total price equal to that payable upon the exercise of this Warrant, the kind and amount of capital stock and other securities or property receivable in connection with such reclassification, reorganization or recapitalization by a holder of the same number and type of securities as were purchasable as Warrant Shares by the Holder immediately prior to such reclassification, reorganization or recapitalization. In any such case, appropriate provisions shall be made with respect to the rights and interest of the Holder so that the provisions hereof shall thereafter be applicable with respect to any capital stock or other securities or property deliverable upon exercise hereof, and appropriate adjustments shall be made to the Exercise Price per Warrant Share payable hereunder,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aggregate Exercise Price payable for the total number of Warrant Shares purchasable under this Warrant (as adjusted) shall remain the same. Notwithstanding anything to the contrary contained herein, with respect to any corporate event or other transaction contemplated by the provisions of this </w:t>
      </w:r>
      <w:r>
        <w:rPr>
          <w:rFonts w:ascii="Times New Roman" w:hAnsi="Times New Roman"/>
          <w:color w:val="000000"/>
          <w:sz w:val="24"/>
          <w:u w:val="single"/>
        </w:rPr>
        <w:t>Section 8(b)</w:t>
      </w:r>
      <w:r>
        <w:rPr>
          <w:rFonts w:ascii="Times New Roman" w:hAnsi="Times New Roman"/>
          <w:color w:val="000000"/>
          <w:sz w:val="24"/>
        </w:rPr>
        <w:t xml:space="preserve">, the Holder shall have the right to elect, within fifteen (15) days prior to the consummation of any such corporate event or other transaction, to give effect to the exercise rights contained in </w:t>
      </w:r>
      <w:r>
        <w:rPr>
          <w:rFonts w:ascii="Times New Roman" w:hAnsi="Times New Roman"/>
          <w:color w:val="000000"/>
          <w:sz w:val="24"/>
          <w:u w:val="single"/>
        </w:rPr>
        <w:t>Section 3(a)</w:t>
      </w:r>
      <w:r>
        <w:rPr>
          <w:color w:val="000000"/>
        </w:rPr>
        <w:t xml:space="preserve"> </w:t>
      </w:r>
      <w:r>
        <w:rPr>
          <w:rFonts w:ascii="Times New Roman" w:hAnsi="Times New Roman"/>
          <w:color w:val="000000"/>
          <w:sz w:val="24"/>
        </w:rPr>
        <w:t xml:space="preserve">instead of giving effect to the provisions contained in this </w:t>
      </w:r>
      <w:r>
        <w:rPr>
          <w:rFonts w:ascii="Times New Roman" w:hAnsi="Times New Roman"/>
          <w:color w:val="000000"/>
          <w:sz w:val="24"/>
          <w:u w:val="single"/>
        </w:rPr>
        <w:t>Section 8(b)</w:t>
      </w:r>
      <w:r>
        <w:rPr>
          <w:color w:val="000000"/>
        </w:rPr>
        <w:t xml:space="preserve"> </w:t>
      </w:r>
      <w:r>
        <w:rPr>
          <w:rFonts w:ascii="Times New Roman" w:hAnsi="Times New Roman"/>
          <w:color w:val="000000"/>
          <w:sz w:val="24"/>
        </w:rPr>
        <w:t xml:space="preserve">with respect to this Warrant.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Other Dividends and Distributions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Preferred Stock</w:t>
      </w:r>
      <w:r>
        <w:rPr>
          <w:rFonts w:ascii="Times New Roman" w:hAnsi="Times New Roman"/>
          <w:color w:val="000000"/>
          <w:sz w:val="24"/>
        </w:rPr>
        <w:t xml:space="preserve">. If the Company, at any time after the issuance of this Warrant, makes or declares, or fixes a record date (or a record date otherwise occurs) for the determination of holders of shares of Preferred Stock entitled to receive, a dividend or any other distribution payable in securities of the Company (other than a dividend or distribution of Preferred Stock or Convertible Securities convertible into or exchangeable for Preferred Stock), cash or other property, then, and in each such event, at the option of the Company, exercised by delivery of notice to the Holder, provision will be made so that the Holder will receive upon exercise of the Warrant, in addition to the number of Warrant Shares receivable thereupon, the kind and amount of securities of the Company, cash or other property which the Holder would have been entitled to receive had the Warrant been exercised in full into Warrant Shares on the date of such event (and the record date therefor) and had the Holder thereafter, during the period from the date of such event to and including the Exercise Date, retained such securities, cash or other property receivable by them during such period, giving application to all adjustments called for during such period with respect to the rights of the Holder;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such provision shall be made if the Holder receives, simultaneously with the distribution to the holders of Preferred Stock, a dividend or other distribution of such securities, cash or other property in an amount equal to the amount of such securities, cash or other property as the Holder would have received if the Warrant had been exercised in full into Warrant Shares on the date of such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Other Capital Stock</w:t>
      </w:r>
      <w:r>
        <w:rPr>
          <w:rFonts w:ascii="Times New Roman" w:hAnsi="Times New Roman"/>
          <w:color w:val="000000"/>
          <w:sz w:val="24"/>
        </w:rPr>
        <w:t xml:space="preserve">. If the Company, at any time after the issuance of this Warrant, makes or declares, or fixes a record date (or a record date otherwise occurs) for the determination of holders of shares of its Common Stock, Series Seed Preferred Stock, Series Seed-1 Preferred Stock, Series A Preferred Stock, Series B Preferred Stock, Series C Preferred Stock or Series M Preferred Stock entitled to receive, a dividend or any other distribution payable in cash, then, and in each such event, the Exercise Price in effect prior thereto shall be reduced immediately thereafter to the price obtained by multiplying (x) the Exercise Price in effect immediately prior thereto by (y) the fraction resulting from dividing (A) an amount equal to the difference resulting from (I) the product of (a) the number of shares of Common Stock, Series Seed Preferred Stock, Series Seed-1 Preferred Stock, Series A Preferred Stock, Series B Preferred Stock, Series C Preferred Stock or Series M Preferred Stock outstanding on such record date multiplied by (b) the fair market value of such shares of Common Stock, Series Seed Preferred Stock, Series Seed-1 Preferred Stock, Series A Preferred Stock, Series B Preferred Stock, Series C Preferred Stock or Series M Preferred Stock on the trading date immediately prior to such record date, </w:t>
      </w:r>
      <w:r>
        <w:rPr>
          <w:rFonts w:ascii="Times New Roman" w:hAnsi="Times New Roman"/>
          <w:color w:val="000000"/>
          <w:sz w:val="24"/>
          <w:u w:val="single"/>
        </w:rPr>
        <w:t>less</w:t>
      </w:r>
      <w:r>
        <w:rPr>
          <w:color w:val="000000"/>
        </w:rPr>
        <w:t xml:space="preserve"> </w:t>
      </w:r>
      <w:r>
        <w:rPr>
          <w:rFonts w:ascii="Times New Roman" w:hAnsi="Times New Roman"/>
          <w:color w:val="000000"/>
          <w:sz w:val="24"/>
        </w:rPr>
        <w:t xml:space="preserve">(II) the cash so distributed in the aggregate to all such shares of Common Stock, Series Seed Preferred Stock, Series Seed-1 Preferred Stock, Series A Preferred Stock, Series B Preferred Stock, Series C Preferred Stock or Series M Preferred Stock, as applicable, outstanding on such record date by (B) the product of (1) the number of shares of Common Stock, Series Seed Preferred Stock, Series Seed-1 Preferred Stock, Series A Preferred Stock, Series B Preferred Stock, Series C Preferred Stock or Series M Preferred Stock, as applicable, outstanding on such record date, multiplied by (2) the fair market value of the shares of Common Stock, Series Seed Preferred Stock, Series Seed-1 Preferred Stock, Series A Preferred Stock, Series B Preferred Stock, Series C Preferred Stock or Series M Preferred Stock, as applicable, on the date immediately prior to such record date. Such adjustment shall be made, without duplication, whenever such a record date is fixed. In such event, the number of Warrant Shares issuable upon the exercise of a Warrant shall be increased to the number obtained by dividing (x) the product of (i) the number of Warrant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Shares issuable upon the exercise of a Warrant before such adjustment and (ii) the Exercise Price in effect immediately prior to the record date for the distribution giving rise to this adjustment by (y) the new Exercise Price determined in accordance with the second preceding sentence. Notwithstanding the foregoing, no adjustment to the Exercise Price shall be made pursuant to this </w:t>
      </w:r>
      <w:r>
        <w:rPr>
          <w:rFonts w:ascii="Times New Roman" w:hAnsi="Times New Roman"/>
          <w:color w:val="000000"/>
          <w:sz w:val="24"/>
          <w:u w:val="single"/>
        </w:rPr>
        <w:t>Section 8(c)(ii)</w:t>
      </w:r>
      <w:r>
        <w:rPr>
          <w:color w:val="000000"/>
        </w:rPr>
        <w:t xml:space="preserve"> </w:t>
      </w:r>
      <w:r>
        <w:rPr>
          <w:rFonts w:ascii="Times New Roman" w:hAnsi="Times New Roman"/>
          <w:color w:val="000000"/>
          <w:sz w:val="24"/>
        </w:rPr>
        <w:t xml:space="preserve">if the Certificate provides for an adjustment to the number of shares of Common Stock issuable upon conversion of the Warrant Shares and the Series J Conversion Price (as defined in the Certificate) on account of any dividend or other distribution described in this </w:t>
      </w:r>
      <w:r>
        <w:rPr>
          <w:rFonts w:ascii="Times New Roman" w:hAnsi="Times New Roman"/>
          <w:color w:val="000000"/>
          <w:sz w:val="24"/>
          <w:u w:val="single"/>
        </w:rPr>
        <w:t>Section 8(c)(ii)</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Other Adjustments</w:t>
      </w:r>
      <w:r>
        <w:rPr>
          <w:rFonts w:ascii="Times New Roman" w:hAnsi="Times New Roman"/>
          <w:color w:val="000000"/>
          <w:sz w:val="24"/>
        </w:rPr>
        <w:t xml:space="preserve">. Notwithstanding (but without duplication of) any adjustment otherwise made pursuant to this </w:t>
      </w:r>
      <w:r>
        <w:rPr>
          <w:rFonts w:ascii="Times New Roman" w:hAnsi="Times New Roman"/>
          <w:color w:val="000000"/>
          <w:sz w:val="24"/>
          <w:u w:val="single"/>
        </w:rPr>
        <w:t>Section 8</w:t>
      </w:r>
      <w:r>
        <w:rPr>
          <w:rFonts w:ascii="Times New Roman" w:hAnsi="Times New Roman"/>
          <w:color w:val="000000"/>
          <w:sz w:val="24"/>
        </w:rPr>
        <w:t>, both the number of shares of Common Stock issuable upon conversion of the Warrant Shares and the Series J Conversion Price applicable thereto (as defined in the Certificate) shall be subject to adjustment from time to time in the manner set forth in and pursuant to the Certificate as if the Warrant Shares were issued and outstanding on and as of the date of any such required adjustment. The provisions set forth for the Warrant Shares in the Certificate relating to the above in effect as of the Issuance Date may not be amended, modified or waived, without the prior written consent of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Notice of Adjustment</w:t>
      </w:r>
      <w:r>
        <w:rPr>
          <w:rFonts w:ascii="Times New Roman" w:hAnsi="Times New Roman"/>
          <w:color w:val="000000"/>
          <w:sz w:val="24"/>
        </w:rPr>
        <w:t xml:space="preserve">. When any adjustment is required to be made in the number or kind of shares purchasable upon exercise of the Warrant, or in the Exercise Price, in either case, pursuant to this </w:t>
      </w:r>
      <w:r>
        <w:rPr>
          <w:rFonts w:ascii="Times New Roman" w:hAnsi="Times New Roman"/>
          <w:color w:val="000000"/>
          <w:sz w:val="24"/>
          <w:u w:val="single"/>
        </w:rPr>
        <w:t>Section 8</w:t>
      </w:r>
      <w:r>
        <w:rPr>
          <w:rFonts w:ascii="Times New Roman" w:hAnsi="Times New Roman"/>
          <w:color w:val="000000"/>
          <w:sz w:val="24"/>
        </w:rPr>
        <w:t>, the Company shall (i) promptly notify the Holder of such event and of the number of Warrant Shares or other securities or property thereafter purchasable upon exercise of this Warrant, and (ii) at its expense shall, as promptly as reasonably practicable but in any event not later than thirty (30) days thereafter, compute such adjustment or readjustment in accordance with the terms hereof and furnish to the Holder a certificate setting forth such adjustment or readjustment (including the kind and amount of securities for which this Warrant shall be exercisable and the Exercise Price) and showing in reasonable detail the facts upon which such adjustment or readjustment is based. The Company shall, as promptly as reasonably practicable after the reasonable written request at any time of the Holder (but in any event not later than thirty (30) days thereafter), furnish or cause to be furnished to the Holder a certificate setting forth (i) the Exercise Price then in effect and (ii) the number of Warrant Shares and the amount, if any, of other securities which then would be received upon the exercise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New Warrant</w:t>
      </w:r>
      <w:r>
        <w:rPr>
          <w:rFonts w:ascii="Times New Roman" w:hAnsi="Times New Roman"/>
          <w:color w:val="000000"/>
          <w:sz w:val="24"/>
        </w:rPr>
        <w:t xml:space="preserve">. Unless no Warrant Shares remain issuable under this Warrant after giving effect to such exercise, following delivery of the Warrant by the Holder, the Company shall prepare a new Warrant, substantially identical hereto, representing the rights formerly represented by this Warrant that have not been exercised and shall, within five (5) business days after the Exercise Date, deliver such new Warrant to the Holder.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u w:val="single"/>
        </w:rPr>
        <w:t>No Fractional Shares or Scrip</w:t>
      </w:r>
      <w:r>
        <w:rPr>
          <w:rFonts w:ascii="Times New Roman" w:hAnsi="Times New Roman"/>
          <w:b/>
          <w:color w:val="000000"/>
          <w:sz w:val="24"/>
        </w:rPr>
        <w:t xml:space="preserve">. </w:t>
      </w:r>
      <w:r>
        <w:rPr>
          <w:rFonts w:ascii="Times New Roman" w:hAnsi="Times New Roman"/>
          <w:color w:val="000000"/>
          <w:sz w:val="24"/>
        </w:rPr>
        <w:t xml:space="preserve">No fractional shares or scrip representing fractional shares shall be issued upon the exercise of this Warrant, but in lieu of such fractional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the Company shall, at its election, make a cash payment therefor on the basis of the Exercise Price then in effect, or round up the number of shares.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u w:val="single"/>
        </w:rPr>
        <w:t>Transfer of Warrant</w:t>
      </w:r>
      <w:r>
        <w:rPr>
          <w:rFonts w:ascii="Times New Roman" w:hAnsi="Times New Roman"/>
          <w:b/>
          <w:color w:val="000000"/>
          <w:sz w:val="24"/>
        </w:rPr>
        <w:t>.</w:t>
      </w:r>
      <w:r>
        <w:rPr>
          <w:color w:val="00000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The Holder of this Warrant or Warrant Shares shall not Transfer any interest in this Warrant or Warrant Shares without the consent of the Company, except (i)</w:t>
      </w:r>
      <w:r>
        <w:rPr>
          <w:color w:val="000000"/>
        </w:rPr>
        <w:t xml:space="preserve"> </w:t>
      </w:r>
      <w:r>
        <w:rPr>
          <w:rFonts w:ascii="Times New Roman" w:hAnsi="Times New Roman"/>
          <w:color w:val="000000"/>
          <w:sz w:val="24"/>
        </w:rPr>
        <w:t xml:space="preserve">to Affiliates of the Holder, </w:t>
      </w:r>
      <w:bookmarkStart w:id="38" w:name="docxtextref33"/>
      <w:bookmarkEnd w:id="38"/>
      <w:r>
        <w:rPr>
          <w:rFonts w:ascii="Times New Roman" w:hAnsi="Times New Roman"/>
          <w:color w:val="000000"/>
          <w:sz w:val="24"/>
        </w:rPr>
        <w:t>(ii)</w:t>
      </w:r>
      <w:r>
        <w:rPr>
          <w:color w:val="000000"/>
        </w:rPr>
        <w:t xml:space="preserve"> </w:t>
      </w:r>
      <w:r>
        <w:rPr>
          <w:rFonts w:ascii="Times New Roman" w:hAnsi="Times New Roman"/>
          <w:color w:val="000000"/>
          <w:sz w:val="24"/>
        </w:rPr>
        <w:t xml:space="preserve">following commencement by the Company of, or consent by the Company to, any voluntary bankruptcy, insolvency, liquidation, or other similar proceedings relating to the Company, (iii) in connection with a permitted transfer by Holder of its commitments and term loans under the Financing Agreement, or (iv) to “Purchasers” under that certain Note Purchase and Security Agreement, which will be entered into following the date hereof in connection with the transactions consummated pursuant to the Financing Agreement, by and among IP Lending X, Ltd., U.S. Bank Trust Company, National Association, U.S. Bank National Association and the other parties named therein. Any Transfer permitted by this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shall be subject to the Transfer conditions referred to in the legend endorsed hereon, the Transfer conditions contained in each of the Stockholder Agreements, the provisions of this </w:t>
      </w:r>
      <w:r>
        <w:rPr>
          <w:rFonts w:ascii="Times New Roman" w:hAnsi="Times New Roman"/>
          <w:color w:val="000000"/>
          <w:sz w:val="24"/>
          <w:u w:val="single"/>
        </w:rPr>
        <w:t>Section 10</w:t>
      </w:r>
      <w:r>
        <w:rPr>
          <w:rFonts w:ascii="Times New Roman" w:hAnsi="Times New Roman"/>
          <w:color w:val="000000"/>
          <w:sz w:val="24"/>
        </w:rPr>
        <w:t xml:space="preserve">, and made in compliance with applicable federal and state securities laws by the transferor. Any Transferee of this Warrant or any portion hereof, by their acceptance of this Warrant, is deemed to agree to be bound by the terms and conditions of this Warrant, including, without limitation, the representations and warranties of the Holder in </w:t>
      </w:r>
      <w:r>
        <w:rPr>
          <w:rFonts w:ascii="Times New Roman" w:hAnsi="Times New Roman"/>
          <w:color w:val="000000"/>
          <w:sz w:val="24"/>
          <w:u w:val="single"/>
        </w:rPr>
        <w:t>Section 5</w:t>
      </w:r>
      <w:r>
        <w:rPr>
          <w:rFonts w:ascii="Times New Roman" w:hAnsi="Times New Roman"/>
          <w:color w:val="000000"/>
          <w:sz w:val="24"/>
        </w:rPr>
        <w:t xml:space="preserve">. Holder shall not avoid the provisions of this Warrant by (A) making one or more Transfers of the Warrant or Warrant Shares to one or more Affiliates and then directly or indirectly disposing of all or any portion of Holder’s direct or indirect interest in any such Affiliate or (B) allowing the Transfer of any securities of any entity holding (directly or indirectly) the Warrant or Warrant Shares; </w:t>
      </w:r>
      <w:r>
        <w:rPr>
          <w:rFonts w:ascii="Times New Roman" w:hAnsi="Times New Roman"/>
          <w:color w:val="000000"/>
          <w:sz w:val="24"/>
          <w:u w:val="single"/>
        </w:rPr>
        <w:t>provided</w:t>
      </w:r>
      <w:r>
        <w:rPr>
          <w:rFonts w:ascii="Times New Roman" w:hAnsi="Times New Roman"/>
          <w:color w:val="000000"/>
          <w:sz w:val="24"/>
        </w:rPr>
        <w:t xml:space="preserve">, that notwithstanding anything to the contrary contained in this </w:t>
      </w:r>
      <w:r>
        <w:rPr>
          <w:rFonts w:ascii="Times New Roman" w:hAnsi="Times New Roman"/>
          <w:color w:val="000000"/>
          <w:sz w:val="24"/>
          <w:u w:val="single"/>
        </w:rPr>
        <w:t>Section 10</w:t>
      </w:r>
      <w:r>
        <w:rPr>
          <w:rFonts w:ascii="Times New Roman" w:hAnsi="Times New Roman"/>
          <w:color w:val="000000"/>
          <w:sz w:val="24"/>
        </w:rPr>
        <w:t xml:space="preserve">, no provision in this Section 10 shall prevent Holder or its Affiliates from (i) selling or issuing stock or other equity interests in Jefferies Financial Group as a publicly traded company or (ii) transferring any equity interests of any entity affiliated with the Holder, the primary holdings of which is not the Warrant or the Warrant Shares;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preceding sentence shall not permit the Holder to sell, pledge, transfer or otherwise dispose of, directly or through or by means of an Affiliate or co-investor, this Warrant or the Warrant Shares held by Holder.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In connection with any Transfer permitted by this </w:t>
      </w:r>
      <w:r>
        <w:rPr>
          <w:rFonts w:ascii="Times New Roman" w:hAnsi="Times New Roman"/>
          <w:color w:val="000000"/>
          <w:sz w:val="24"/>
          <w:u w:val="single"/>
        </w:rPr>
        <w:t>Section 10</w:t>
      </w:r>
      <w:r>
        <w:rPr>
          <w:rFonts w:ascii="Times New Roman" w:hAnsi="Times New Roman"/>
          <w:color w:val="000000"/>
          <w:sz w:val="24"/>
        </w:rPr>
        <w:t xml:space="preserve">, Holder will give the Company written notice of the portion of this Warrant and/or Warrant Shares being Transferred with the name and address of the Transferee and Holder will surrender this Warrant to the Company for reissuance to the Transferee(s) (and Holder if applicable);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Transferee shall execute a counterpart signature page hereto as the Holder, and such Transferee shall thereby be bound by, and subject to, all of the terms and conditions of this Warrant.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certificated, each certificate representing the Warrant Shares shall bear a legend substantially in the following form:</w:t>
      </w:r>
    </w:p>
    <w:p>
      <w:pPr>
        <w:pStyle w:val="TextBody"/>
        <w:bidi w:val="0"/>
        <w:spacing w:before="0" w:after="240"/>
        <w:jc w:val="both"/>
        <w:rPr/>
      </w:pPr>
      <w:r>
        <w:rPr>
          <w:color w:val="000000"/>
        </w:rPr>
        <w:t>“</w:t>
      </w:r>
      <w:r>
        <w:rPr>
          <w:rFonts w:ascii="Times New Roman" w:hAnsi="Times New Roman"/>
          <w:color w:val="000000"/>
          <w:sz w:val="24"/>
        </w:rPr>
        <w:t>THE SECURITIES REPRESENTED HEREBY HAVE BEEN ACQUIRED FOR INVESTMENT AND HAVE NOT BEEN REGISTERED UNDER THE SECURITIES ACT OF 1933. SUCH</w:t>
      </w:r>
      <w:r>
        <w:rPr>
          <w:rFonts w:ascii="Times New Roman" w:hAnsi="Times New Roman"/>
          <w:color w:val="000000"/>
          <w:sz w:val="20"/>
        </w:rPr>
        <w:t xml:space="preserve">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MAY NOT BE SOLD, PLEDGED, OR TRANSFERRED IN THE ABSENCE OF SUCH REGISTRATION OR A VALID EXEMPTION FROM THE REGISTRATION AND PROSPECTUS DELIVERY REQUIREMENTS OF SAID ACT. THE SECURITIES REPRESENTED HEREBY MAY BE TRANSFERRED ONLY IN ACCORDANCE WITH THE TERMS OF THE AMENDED AND RESTATED INVESTORS’ RIGHTS AGREEMENT BETWEEN THE COMPANY AND THE STOCKHOLDER, A COPY OF WHICH IS ON FILE WITH THE SECRETARY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To the extent certificated, the first legend above shall be removed from the certificates representing any Warrant Shares, at the request of the holder thereof, at such time as the Warrant Shares become eligible for resale pursuant to Rule 144(b)(1)(i) under the Act.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u w:val="single"/>
        </w:rPr>
        <w:t>Certain Tax Matters</w:t>
      </w:r>
      <w:r>
        <w:rPr>
          <w:rFonts w:ascii="Times New Roman" w:hAnsi="Times New Roman"/>
          <w:b/>
          <w:color w:val="000000"/>
          <w:sz w:val="24"/>
        </w:rPr>
        <w:t xml:space="preserve">. </w:t>
      </w:r>
      <w:r>
        <w:rPr>
          <w:rFonts w:ascii="Times New Roman" w:hAnsi="Times New Roman"/>
          <w:color w:val="000000"/>
          <w:sz w:val="24"/>
        </w:rPr>
        <w:t>For U.S. federal income tax purposes, the debt instrument created pursuant to the Financing Agreement by and among the Company, each guarantor from time to time party thereto, the lenders from time to time party thereto, and U.S. Bank Trust Company, National Association and its permitted successors, as administrative agent and collateral agent, dated as of even date herewith (the “</w:t>
      </w:r>
      <w:r>
        <w:rPr>
          <w:rFonts w:ascii="Times New Roman" w:hAnsi="Times New Roman"/>
          <w:b/>
          <w:color w:val="000000"/>
          <w:sz w:val="24"/>
        </w:rPr>
        <w:t>Financing Agreement</w:t>
      </w:r>
      <w:r>
        <w:rPr>
          <w:color w:val="000000"/>
        </w:rPr>
        <w:t>”</w:t>
      </w:r>
      <w:r>
        <w:rPr>
          <w:rFonts w:ascii="Times New Roman" w:hAnsi="Times New Roman"/>
          <w:color w:val="000000"/>
          <w:sz w:val="24"/>
        </w:rPr>
        <w:t xml:space="preserve">), and the Warrant shall be treated as an “investment unit” pursuant to Section 1273(c)(2) of the Code and Treasury Regulation Section 1.1273-2(h). Based on an allocation of the respective fair market values of such debt instrument and the Warrant, the parties hereto agree that the portion of the amounts advanced to the Company pursuant to the Financing Agreement allocable to the Warrant is $0, and the debt issued pursuant to the Financing Agreement (after taking into account any closing fee and other adjustments) is $122,950,523.00. Each of the parties agree not to take a position inconsistent with this </w:t>
      </w:r>
      <w:r>
        <w:rPr>
          <w:rFonts w:ascii="Times New Roman" w:hAnsi="Times New Roman"/>
          <w:color w:val="000000"/>
          <w:sz w:val="24"/>
          <w:u w:val="single"/>
        </w:rPr>
        <w:t>Section 11</w:t>
      </w:r>
      <w:r>
        <w:rPr>
          <w:rFonts w:ascii="Times New Roman" w:hAnsi="Times New Roman"/>
          <w:color w:val="000000"/>
          <w:sz w:val="24"/>
        </w:rPr>
        <w:t xml:space="preserve">, including the filing of any tax and other information return, unless there is a determination within the meaning of Section 1313 of the Internal Revenue Code to the contrary.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u w:val="single"/>
        </w:rPr>
        <w:t>Governing Law</w:t>
      </w:r>
      <w:r>
        <w:rPr>
          <w:rFonts w:ascii="Times New Roman" w:hAnsi="Times New Roman"/>
          <w:b/>
          <w:color w:val="000000"/>
          <w:sz w:val="24"/>
        </w:rPr>
        <w:t>.</w:t>
      </w:r>
      <w:r>
        <w:rPr>
          <w:color w:val="000000"/>
        </w:rPr>
        <w:t xml:space="preserve"> </w:t>
      </w:r>
      <w:r>
        <w:rPr>
          <w:rFonts w:ascii="Times New Roman" w:hAnsi="Times New Roman"/>
          <w:color w:val="000000"/>
          <w:sz w:val="24"/>
        </w:rPr>
        <w:t>This Warrant shall be governed by and construed under the laws of the State of Delaware</w:t>
      </w:r>
      <w:r>
        <w:rPr>
          <w:rFonts w:ascii="Times New Roman" w:hAnsi="Times New Roman"/>
          <w:b/>
          <w:color w:val="000000"/>
          <w:sz w:val="24"/>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u w:val="single"/>
        </w:rPr>
        <w:t>CONSENT TO JURISDICTION</w:t>
      </w:r>
      <w:r>
        <w:rPr>
          <w:rFonts w:ascii="Times New Roman" w:hAnsi="Times New Roman"/>
          <w:color w:val="000000"/>
          <w:sz w:val="24"/>
        </w:rPr>
        <w:t xml:space="preserve">. ALL JUDICIAL PROCEEDINGS ARISING OUT OF OR RELATING HERETO MAY BE BROUGHT IN ANY STATE OR FEDERAL COURT OF COMPETENT JURISDICTION IN THE STATE OF DELAWARE. BY EXECUTING AND DELIVERING THIS WARRANT, EACH PARTY HERETO, FOR ITSELF AND IN CONNECTION WITH ITS PROPERTIES, IRREVOCABLY (A) ACCEPTS GENERALLY AND UNCONDITIONALLY THE EXCLUSIVE JURISDICTION AND VENUE OF SUCH COURTS; (B) WAIVES ANY DEFENSE OF FORUM NON CONVENIENS; AND (C) AGREES THAT SERVICE OF ALL PROCESS IN ANY SUCH PROCEEDING IN ANY SUCH COURT MAY BE MADE BY REGISTERED OR CERTIFIED MAIL, RETURN RECEIPT REQUESTED, TO THE APPLICABLE PARTY AT ITS ADDRESS PROVIDED IN ACCORDANCE WITH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 xml:space="preserve">AND TO ANY PROCESS AGENT SELECTED IN ACCORDANCE WITH THE TERMS OF THIS AGREEMENT IS SUFFICIENT TO CONFER PERSONAL JURISDICTION OVER THE APPLICABLE PARTY IN ANY SUCH </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PROCEEDING IN ANY SUCH COURT, AND OTHERWISE CONSTITUTES EFFECTIVE AND BINDING SERVICE IN EVERY RESPECT.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u w:val="single"/>
        </w:rPr>
        <w:t>WAIVER OF JURY TRIAL</w:t>
      </w:r>
      <w:r>
        <w:rPr>
          <w:rFonts w:ascii="Times New Roman" w:hAnsi="Times New Roman"/>
          <w:color w:val="000000"/>
          <w:sz w:val="24"/>
        </w:rPr>
        <w:t xml:space="preserve">. EACH OF THE PARTIES HERETO HEREBY AGREES TO WAIVE ITS RESPECTIVE RIGHTS TO A JURY TRIAL OF ANY CLAIM OR CAUSE OF ACTION BASED UPON OR ARISING HEREUNDER OR ANY DEALINGS BETWEEN THEM RELATING TO THE SUBJECT MATTER OF THIS WARRANT.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AND EXECUTED BY EACH OF THE PARTIES HERETO), AND THIS WAIVER SHALL APPLY TO ANY SUBSEQUENT AMENDMENTS, RENEWALS, SUPPLEMENTS OR MODIFICATIONS HERETO. IN THE EVENT OF LITIGATION, THIS WARRANT MAY BE FILED AS A WRITTEN CONSENT TO A TRIAL BY THE COURT.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u w:val="single"/>
        </w:rPr>
        <w:t>Successors and Assigns</w:t>
      </w:r>
      <w:r>
        <w:rPr>
          <w:rFonts w:ascii="Times New Roman" w:hAnsi="Times New Roman"/>
          <w:b/>
          <w:color w:val="000000"/>
          <w:sz w:val="24"/>
        </w:rPr>
        <w:t xml:space="preserve">. </w:t>
      </w:r>
      <w:r>
        <w:rPr>
          <w:rFonts w:ascii="Times New Roman" w:hAnsi="Times New Roman"/>
          <w:color w:val="000000"/>
          <w:sz w:val="24"/>
        </w:rPr>
        <w:t>The terms and provisions of this Warrant shall inure to the benefit of, and be binding upon, the Company and the holders hereof and their respective successors and assigns.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u w:val="single"/>
        </w:rPr>
        <w:t>Titles and Subtitles</w:t>
      </w:r>
      <w:r>
        <w:rPr>
          <w:rFonts w:ascii="Times New Roman" w:hAnsi="Times New Roman"/>
          <w:b/>
          <w:color w:val="000000"/>
          <w:sz w:val="24"/>
        </w:rPr>
        <w:t xml:space="preserve">. </w:t>
      </w:r>
      <w:r>
        <w:rPr>
          <w:rFonts w:ascii="Times New Roman" w:hAnsi="Times New Roman"/>
          <w:color w:val="000000"/>
          <w:sz w:val="24"/>
        </w:rPr>
        <w:t>The titles and subtitles used in this Warrant are used for convenience only and are not to be considered in construing or interpreting this Warrant.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u w:val="single"/>
        </w:rPr>
        <w:t>Notices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All notices and other communications given or made pursuant hereto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 following addresses (or at such other addresses as shall be specified by notice given in accordance with this </w:t>
      </w:r>
      <w:r>
        <w:rPr>
          <w:rFonts w:ascii="Times New Roman" w:hAnsi="Times New Roman"/>
          <w:color w:val="000000"/>
          <w:sz w:val="24"/>
          <w:u w:val="single"/>
        </w:rPr>
        <w:t>Section 17</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color w:val="000000"/>
          <w:sz w:val="24"/>
        </w:rPr>
        <w:t>If to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Firefly Aerospace Inc.</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1320 Arrow Point Drive, Suite 109</w:t>
      </w:r>
    </w:p>
    <w:p>
      <w:pPr>
        <w:pStyle w:val="TextBody"/>
        <w:bidi w:val="0"/>
        <w:jc w:val="left"/>
        <w:rPr>
          <w:rFonts w:ascii="Times New Roman" w:hAnsi="Times New Roman"/>
          <w:color w:val="000000"/>
          <w:sz w:val="24"/>
        </w:rPr>
      </w:pPr>
      <w:r>
        <w:rPr>
          <w:rFonts w:ascii="Times New Roman" w:hAnsi="Times New Roman"/>
          <w:color w:val="000000"/>
          <w:sz w:val="24"/>
        </w:rPr>
        <w:t>Cedar Park, TX 78613</w:t>
      </w:r>
    </w:p>
    <w:p>
      <w:pPr>
        <w:pStyle w:val="TextBody"/>
        <w:bidi w:val="0"/>
        <w:jc w:val="left"/>
        <w:rPr>
          <w:rFonts w:ascii="Times New Roman" w:hAnsi="Times New Roman"/>
          <w:color w:val="000000"/>
          <w:sz w:val="24"/>
        </w:rPr>
      </w:pPr>
      <w:r>
        <w:rPr>
          <w:rFonts w:ascii="Times New Roman" w:hAnsi="Times New Roman"/>
          <w:color w:val="000000"/>
          <w:sz w:val="24"/>
        </w:rPr>
        <w:t>Attention: Darren Ma, Chief Financial Officer</w:t>
      </w:r>
    </w:p>
    <w:p>
      <w:pPr>
        <w:pStyle w:val="TextBody"/>
        <w:bidi w:val="0"/>
        <w:jc w:val="left"/>
        <w:rPr>
          <w:rFonts w:ascii="Times New Roman" w:hAnsi="Times New Roman"/>
          <w:color w:val="000000"/>
          <w:sz w:val="24"/>
        </w:rPr>
      </w:pPr>
      <w:r>
        <w:rPr>
          <w:rFonts w:ascii="Times New Roman" w:hAnsi="Times New Roman"/>
          <w:color w:val="000000"/>
          <w:sz w:val="24"/>
        </w:rPr>
        <w:t>Email: Darren.Ma@firefly.com</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rFonts w:ascii="Times New Roman" w:hAnsi="Times New Roman"/>
          <w:color w:val="000000"/>
          <w:sz w:val="24"/>
        </w:rPr>
      </w:pPr>
      <w:r>
        <w:rPr>
          <w:rFonts w:ascii="Times New Roman" w:hAnsi="Times New Roman"/>
          <w:color w:val="000000"/>
          <w:sz w:val="24"/>
        </w:rPr>
        <w:t>Kirkland &amp; Ellis LLP</w:t>
      </w:r>
    </w:p>
    <w:p>
      <w:pPr>
        <w:pStyle w:val="TextBody"/>
        <w:bidi w:val="0"/>
        <w:jc w:val="left"/>
        <w:rPr>
          <w:rFonts w:ascii="Times New Roman" w:hAnsi="Times New Roman"/>
          <w:color w:val="000000"/>
          <w:sz w:val="24"/>
        </w:rPr>
      </w:pPr>
      <w:r>
        <w:rPr>
          <w:rFonts w:ascii="Times New Roman" w:hAnsi="Times New Roman"/>
          <w:color w:val="000000"/>
          <w:sz w:val="24"/>
        </w:rPr>
        <w:t>Three Brickell City Centre</w:t>
      </w:r>
    </w:p>
    <w:p>
      <w:pPr>
        <w:pStyle w:val="TextBody"/>
        <w:bidi w:val="0"/>
        <w:jc w:val="left"/>
        <w:rPr>
          <w:rFonts w:ascii="Times New Roman" w:hAnsi="Times New Roman"/>
          <w:color w:val="000000"/>
          <w:sz w:val="24"/>
        </w:rPr>
      </w:pPr>
      <w:r>
        <w:rPr>
          <w:rFonts w:ascii="Times New Roman" w:hAnsi="Times New Roman"/>
          <w:color w:val="000000"/>
          <w:sz w:val="24"/>
        </w:rPr>
        <w:t>98 S.E. 7th Street, Suite 700</w:t>
      </w:r>
    </w:p>
    <w:p>
      <w:pPr>
        <w:pStyle w:val="TextBody"/>
        <w:bidi w:val="0"/>
        <w:jc w:val="left"/>
        <w:rPr>
          <w:rFonts w:ascii="Times New Roman" w:hAnsi="Times New Roman"/>
          <w:color w:val="000000"/>
          <w:sz w:val="24"/>
        </w:rPr>
      </w:pPr>
      <w:r>
        <w:rPr>
          <w:rFonts w:ascii="Times New Roman" w:hAnsi="Times New Roman"/>
          <w:color w:val="000000"/>
          <w:sz w:val="24"/>
        </w:rPr>
        <w:t>Miami, FL 33131</w:t>
        <w:br/>
        <w:t>Attention: Jeremy S. Liss, P.C.; Matthew S. Arenson, P.C.; Jeffrey P. Swatzell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Email: jliss@kirkland.com; marenson@kirkland.com; jeffrey.swatzell@kirkland.com</w:t>
      </w:r>
    </w:p>
    <w:p>
      <w:pPr>
        <w:pStyle w:val="TextBody"/>
        <w:bidi w:val="0"/>
        <w:jc w:val="left"/>
        <w:rPr>
          <w:rFonts w:ascii="Times New Roman" w:hAnsi="Times New Roman"/>
          <w:color w:val="000000"/>
          <w:sz w:val="24"/>
        </w:rPr>
      </w:pPr>
      <w:r>
        <w:rPr>
          <w:rFonts w:ascii="Times New Roman" w:hAnsi="Times New Roman"/>
          <w:color w:val="000000"/>
          <w:sz w:val="24"/>
        </w:rPr>
        <w:t>If to Holder:</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w:t>
      </w:r>
      <w:r>
        <w:rPr>
          <w:rFonts w:ascii="Times New Roman" w:hAnsi="Times New Roman"/>
          <w:color w:val="000000"/>
          <w:sz w:val="24"/>
        </w:rPr>
        <w:br/>
        <w:t xml:space="preserve">Attn: </w:t>
      </w:r>
      <w:r>
        <w:rPr>
          <w:rFonts w:ascii="Times New Roman" w:hAnsi="Times New Roman"/>
          <w:b/>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rFonts w:ascii="Times New Roman" w:hAnsi="Times New Roman"/>
          <w:sz w:val="20"/>
        </w:rPr>
      </w:pPr>
      <w:r>
        <w:rPr>
          <w:rFonts w:ascii="Times New Roman" w:hAnsi="Times New Roman"/>
          <w:b/>
          <w:color w:val="000000"/>
          <w:sz w:val="24"/>
        </w:rPr>
        <w:t>[●]</w:t>
      </w:r>
      <w:r>
        <w:rPr>
          <w:rFonts w:ascii="Times New Roman" w:hAnsi="Times New Roman"/>
          <w:color w:val="000000"/>
          <w:sz w:val="24"/>
        </w:rPr>
        <w:br/>
        <w:t xml:space="preserve">Attention: </w:t>
      </w:r>
      <w:r>
        <w:rPr>
          <w:rFonts w:ascii="Times New Roman" w:hAnsi="Times New Roman"/>
          <w:b/>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Email: </w:t>
      </w:r>
      <w:r>
        <w:rPr>
          <w:rFonts w:ascii="Times New Roman" w:hAnsi="Times New Roman"/>
          <w:b/>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u w:val="single"/>
        </w:rPr>
        <w:t>Withholding and Reporting Requirements</w:t>
      </w:r>
      <w:r>
        <w:rPr>
          <w:rFonts w:ascii="Times New Roman" w:hAnsi="Times New Roman"/>
          <w:b/>
          <w:color w:val="000000"/>
          <w:sz w:val="24"/>
        </w:rPr>
        <w: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Holder (or any Person that acquires this Warrant pursuant to </w:t>
      </w:r>
      <w:r>
        <w:rPr>
          <w:rFonts w:ascii="Times New Roman" w:hAnsi="Times New Roman"/>
          <w:color w:val="000000"/>
          <w:sz w:val="24"/>
          <w:u w:val="single"/>
        </w:rPr>
        <w:t>Section 10</w:t>
      </w:r>
      <w:r>
        <w:rPr>
          <w:rFonts w:ascii="Times New Roman" w:hAnsi="Times New Roman"/>
          <w:color w:val="000000"/>
          <w:sz w:val="24"/>
        </w:rPr>
        <w:t xml:space="preserve">) shall deliver to the Company one copy of the following forms (i) upon the execution of this Agreement or upon the completion of a transfer permitted pursuant to </w:t>
      </w:r>
      <w:r>
        <w:rPr>
          <w:rFonts w:ascii="Times New Roman" w:hAnsi="Times New Roman"/>
          <w:color w:val="000000"/>
          <w:sz w:val="24"/>
          <w:u w:val="single"/>
        </w:rPr>
        <w:t>Section 10</w:t>
      </w:r>
      <w:r>
        <w:rPr>
          <w:rFonts w:ascii="Times New Roman" w:hAnsi="Times New Roman"/>
          <w:color w:val="000000"/>
          <w:sz w:val="24"/>
        </w:rPr>
        <w:t>, (ii) promptly upon the reasonable request of the Company and (iii) promptly upon any such previously delivered form becoming incorrect or obsolete: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a duly executed, valid and properly completed IRS Form W-9 (or successor form) evidencing its status as a “United States person” as defined in Section 7701(a)(30) of the Internal Revenue Code of 1986, as amended (the “</w:t>
      </w:r>
      <w:r>
        <w:rPr>
          <w:rFonts w:ascii="Times New Roman" w:hAnsi="Times New Roman"/>
          <w:b/>
          <w:color w:val="000000"/>
          <w:sz w:val="24"/>
        </w:rPr>
        <w:t>Code</w:t>
      </w:r>
      <w:r>
        <w:rPr>
          <w:color w:val="000000"/>
        </w:rPr>
        <w:t>”</w:t>
      </w:r>
      <w:r>
        <w:rPr>
          <w:rFonts w:ascii="Times New Roman" w:hAnsi="Times New Roman"/>
          <w:color w:val="000000"/>
          <w:sz w:val="24"/>
        </w:rPr>
        <w:t>) and certifying that it is exempt from or not subject to backup withholding;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duly executed, valid and properly completed IRS Form W-8IMY (with appropriate, properly completed and duly executed attachments satisfactory to the Company), W-8BEN, W-8BEN-E, or W-8ECI (or any successor forms), as applicable, properly completed and duly executed by such Person and, to the extent such Person is eligible, such form shall note that such Person is not subject to deduction or withholding, or is subject to a reduced deduction or withholding of United States federal income tax.</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Company is entitled to comply with all applicable tax withholding and reporting requirements imposed by any governmental unit, and all distributions or other situations requiring withholding under applicable law, including deemed distributions, pursuant to this Warrant will be subject to applicable withholding and reporting requirements. Notwithstanding any provision to the contrary, the Company will be authorized to (a) take any actions that may be necessary or appropriate to comply with such withholding and reporting requirements, (b) apply a portion of any cash distribution to be made under this Warrant to pay applicable withholding taxes, (c) liquidate a portion of any non-cash distribution to be made under this Warrant to generate sufficient funds to pay applicable withholding taxes, (d) require reimbursement from the Holder or any transferee of the Holder’s rights hereunder to the extent any withholding is required in the absence of any distribution or (e) establish any other mechanisms the Company believes are reasonable and appropriate, including requiring the Holder, or any transferee of the Holder, to submit appropriate tax and withholding certifications (such as IRS Forms W-9 and the appropriate IRS Forms W-8, as applicable) that are necessary to comply with this </w:t>
      </w:r>
      <w:r>
        <w:rPr>
          <w:rFonts w:ascii="Times New Roman" w:hAnsi="Times New Roman"/>
          <w:color w:val="000000"/>
          <w:sz w:val="24"/>
          <w:u w:val="single"/>
        </w:rPr>
        <w:t>Section 18</w:t>
      </w:r>
      <w:r>
        <w:rPr>
          <w:rFonts w:ascii="Times New Roman" w:hAnsi="Times New Roman"/>
          <w:color w:val="000000"/>
          <w:sz w:val="24"/>
        </w:rPr>
        <w:t>. For the avoidance of doubt, the Holder and any transferee of the Holder will comply with any reasonable requests of the Company made in pursuance of compliance with applicable tax withholding and reporting requirements, including delivering any withholding certificates that the Holder or any transferee of the Holder is legally able to provide.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u w:val="single"/>
        </w:rPr>
        <w:t>Amendments and Waivers</w:t>
      </w:r>
      <w:r>
        <w:rPr>
          <w:rFonts w:ascii="Times New Roman" w:hAnsi="Times New Roman"/>
          <w:b/>
          <w:color w:val="000000"/>
          <w:sz w:val="24"/>
        </w:rPr>
        <w:t xml:space="preserve">. </w:t>
      </w:r>
      <w:r>
        <w:rPr>
          <w:rFonts w:ascii="Times New Roman" w:hAnsi="Times New Roman"/>
          <w:color w:val="000000"/>
          <w:sz w:val="24"/>
        </w:rPr>
        <w:t>Any term of this Warrant may be amended and the observance of any term of this Warrant may be waived (either generally or in a particular instance and either retroactively or prospectively), only with the written consent of the Company and the Holder.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pPr>
      <w:r>
        <w:rPr>
          <w:rFonts w:ascii="Times New Roman" w:hAnsi="Times New Roman"/>
          <w:b/>
          <w:color w:val="000000"/>
          <w:sz w:val="24"/>
          <w:u w:val="single"/>
        </w:rPr>
        <w:t>Severability</w:t>
      </w:r>
      <w:r>
        <w:rPr>
          <w:rFonts w:ascii="Times New Roman" w:hAnsi="Times New Roman"/>
          <w:b/>
          <w:color w:val="000000"/>
          <w:sz w:val="24"/>
        </w:rPr>
        <w:t xml:space="preserve">. </w:t>
      </w:r>
      <w:r>
        <w:rPr>
          <w:rFonts w:ascii="Times New Roman" w:hAnsi="Times New Roman"/>
          <w:color w:val="000000"/>
          <w:sz w:val="24"/>
        </w:rPr>
        <w:t>If any provision of this Warrant is held to be unenforceable under applicable law, such provision shall be excluded from this Warrant and the balance of the Warrant shall be interpreted as if such provision were so excluded and shall be enforceable in accordance with its terms.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u w:val="single"/>
        </w:rPr>
        <w:t>Loss or Destruction of Warrant</w:t>
      </w:r>
      <w:r>
        <w:rPr>
          <w:rFonts w:ascii="Times New Roman" w:hAnsi="Times New Roman"/>
          <w:b/>
          <w:color w:val="000000"/>
          <w:sz w:val="24"/>
        </w:rPr>
        <w:t>.</w:t>
      </w:r>
      <w:r>
        <w:rPr>
          <w:color w:val="000000"/>
        </w:rPr>
        <w:t xml:space="preserve"> </w:t>
      </w:r>
      <w:r>
        <w:rPr>
          <w:rFonts w:ascii="Times New Roman" w:hAnsi="Times New Roman"/>
          <w:color w:val="000000"/>
          <w:sz w:val="24"/>
        </w:rPr>
        <w:t>Subject to the terms and conditions hereof, upon receipt by the Company of evidence reasonably satisfactory to it of the loss, theft, destruction or mutilation of this Warrant and, in the case of loss, theft or destruction, of such bond or indemnification as the Company may reasonably require, and, in the case of such mutilation, upon surrender and cancellation of this Warrant, the Company will execute and deliver a new Warrant substantially identical in form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u w:val="single"/>
        </w:rPr>
        <w:t>Signatures</w:t>
      </w:r>
      <w:r>
        <w:rPr>
          <w:rFonts w:ascii="Times New Roman" w:hAnsi="Times New Roman"/>
          <w:b/>
          <w:color w:val="000000"/>
          <w:sz w:val="24"/>
        </w:rPr>
        <w:t>.</w:t>
      </w:r>
      <w:r>
        <w:rPr>
          <w:color w:val="000000"/>
        </w:rPr>
        <w:t xml:space="preserve"> </w:t>
      </w:r>
      <w:r>
        <w:rPr>
          <w:rFonts w:ascii="Times New Roman" w:hAnsi="Times New Roman"/>
          <w:color w:val="000000"/>
          <w:sz w:val="24"/>
        </w:rPr>
        <w:t>This Warrant may be executed by pdf signature.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u w:val="single"/>
        </w:rPr>
        <w:t>Complete Agreement</w:t>
      </w:r>
      <w:r>
        <w:rPr>
          <w:rFonts w:ascii="Times New Roman" w:hAnsi="Times New Roman"/>
          <w:b/>
          <w:color w:val="000000"/>
          <w:sz w:val="24"/>
        </w:rPr>
        <w:t>.</w:t>
      </w:r>
      <w:r>
        <w:rPr>
          <w:color w:val="000000"/>
        </w:rPr>
        <w:t xml:space="preserve"> </w:t>
      </w:r>
      <w:r>
        <w:rPr>
          <w:rFonts w:ascii="Times New Roman" w:hAnsi="Times New Roman"/>
          <w:color w:val="000000"/>
          <w:sz w:val="24"/>
        </w:rPr>
        <w:t>This Warrant and the Financing Agreement and all counterparts hereto and thereto embody the complete agreement and understanding among the parties hereto and supersede and preempt any prior understandings, agreements or representations by or among the parties hereto, written or oral, which may have related to the subject matter hereof in any way.</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[Signature Page Follows]</w:t>
      </w:r>
    </w:p>
    <w:tbl>
      <w:tblPr>
        <w:tblW w:w="848" w:type="dxa"/>
        <w:jc w:val="left"/>
        <w:tblInd w:w="0" w:type="dxa"/>
        <w:tblLayout w:type="fixed"/>
        <w:tblCellMar>
          <w:top w:w="28" w:type="dxa"/>
          <w:left w:w="28" w:type="dxa"/>
          <w:bottom w:w="28" w:type="dxa"/>
          <w:right w:w="28" w:type="dxa"/>
        </w:tblCellMar>
      </w:tblPr>
      <w:tblGrid>
        <w:gridCol w:w="161"/>
        <w:gridCol w:w="4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Company has executed this Warrant as of the date above written.</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FIREFLY AEROSPACE INC.</w:t>
      </w:r>
    </w:p>
    <w:p>
      <w:pPr>
        <w:pStyle w:val="TextBody"/>
        <w:bidi w:val="0"/>
        <w:jc w:val="left"/>
        <w:rPr>
          <w:rFonts w:ascii="Times New Roman" w:hAnsi="Times New Roman"/>
          <w:sz w:val="20"/>
        </w:rPr>
      </w:pPr>
      <w:r>
        <w:rPr>
          <w:rFonts w:ascii="Times New Roman" w:hAnsi="Times New Roman"/>
          <w:color w:val="000000"/>
          <w:sz w:val="24"/>
        </w:rPr>
        <w:t>By: ______________________________</w:t>
      </w:r>
      <w:r>
        <w:rPr>
          <w:rFonts w:ascii="Times New Roman" w:hAnsi="Times New Roman"/>
          <w:color w:val="000000"/>
          <w:sz w:val="24"/>
          <w:u w:val="single"/>
        </w:rPr>
        <w:br/>
      </w: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AGREED AND ACCEPTED:</w:t>
      </w:r>
    </w:p>
    <w:p>
      <w:pPr>
        <w:pStyle w:val="TextBody"/>
        <w:bidi w:val="0"/>
        <w:jc w:val="left"/>
        <w:rPr/>
      </w:pPr>
      <w:r>
        <w:rPr/>
        <w:t>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w:t>
      </w:r>
    </w:p>
    <w:p>
      <w:pPr>
        <w:pStyle w:val="TextBody"/>
        <w:bidi w:val="0"/>
        <w:jc w:val="left"/>
        <w:rPr>
          <w:rFonts w:ascii="Times New Roman" w:hAnsi="Times New Roman"/>
          <w:sz w:val="20"/>
        </w:rPr>
      </w:pPr>
      <w:r>
        <w:rPr>
          <w:rFonts w:ascii="Times New Roman" w:hAnsi="Times New Roman"/>
          <w:color w:val="000000"/>
          <w:sz w:val="24"/>
        </w:rPr>
        <w:t>By: ______________________________</w:t>
      </w:r>
      <w:r>
        <w:rPr>
          <w:rFonts w:ascii="Times New Roman" w:hAnsi="Times New Roman"/>
          <w:color w:val="000000"/>
          <w:sz w:val="24"/>
          <w:u w:val="single"/>
        </w:rPr>
        <w:br/>
      </w:r>
      <w:r>
        <w:rPr>
          <w:rFonts w:ascii="Times New Roman" w:hAnsi="Times New Roman"/>
          <w:color w:val="000000"/>
          <w:sz w:val="24"/>
        </w:rPr>
        <w:t>Name: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Warrant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CAPITALIZATION</w:t>
      </w:r>
    </w:p>
    <w:p>
      <w:pPr>
        <w:pStyle w:val="TextBody"/>
        <w:bidi w:val="0"/>
        <w:spacing w:before="0" w:after="240"/>
        <w:jc w:val="center"/>
        <w:rPr>
          <w:rFonts w:ascii="Times New Roman" w:hAnsi="Times New Roman"/>
          <w:sz w:val="20"/>
        </w:rPr>
      </w:pPr>
      <w:r>
        <w:rPr>
          <w:rFonts w:ascii="Times New Roman" w:hAnsi="Times New Roman"/>
          <w:color w:val="000000"/>
          <w:sz w:val="24"/>
        </w:rPr>
        <w:t>See attached.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Exhibit A</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To:_________________ Dated:____________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pursuant to the provisions set forth in the attached Warrant, hereby elects to purchase:</w:t>
      </w:r>
    </w:p>
    <w:p>
      <w:pPr>
        <w:pStyle w:val="TextBody"/>
        <w:bidi w:val="0"/>
        <w:spacing w:before="0" w:after="240"/>
        <w:jc w:val="both"/>
        <w:rPr>
          <w:rFonts w:ascii="Times New Roman" w:hAnsi="Times New Roman"/>
          <w:sz w:val="20"/>
        </w:rPr>
      </w:pPr>
      <w:r>
        <w:rPr>
          <w:rFonts w:ascii="Times New Roman" w:hAnsi="Times New Roman"/>
          <w:color w:val="000000"/>
          <w:sz w:val="24"/>
        </w:rPr>
        <w:t>____ shares of Preferred Stock of Firefly Aerospace Inc. covered by such Warrant.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undersigned herewith makes payment of the full purchase price for such Preferred Stock at the price per share provided for in such Warrant by providing a check or wire in the amount of $______ in lawful money of the United States.</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Signature: 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Address: 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_______________________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fly-ex10_4.htm"/>
      <w:bookmarkStart w:id="40" w:name="ksflyex10_4"/>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Heading1"/>
        <w:bidi w:val="0"/>
        <w:spacing w:before="82" w:after="283"/>
        <w:jc w:val="right"/>
        <w:rPr/>
      </w:pPr>
      <w:r>
        <w:rPr/>
        <w:t> </w:t>
      </w:r>
    </w:p>
    <w:p>
      <w:pPr>
        <w:pStyle w:val="Heading1"/>
        <w:bidi w:val="0"/>
        <w:spacing w:before="82" w:after="283"/>
        <w:jc w:val="left"/>
        <w:rPr>
          <w:rFonts w:ascii="Arial" w:hAnsi="Arial"/>
          <w:color w:val="000000"/>
          <w:sz w:val="24"/>
        </w:rPr>
      </w:pPr>
      <w:r>
        <w:rPr>
          <w:rFonts w:ascii="Arial" w:hAnsi="Arial"/>
          <w:color w:val="000000"/>
          <w:sz w:val="24"/>
        </w:rPr>
        <w:t>OMNIBUS AMENDMENT TO EXECUTIVE EMPLOYMENT LETTER AGREEMENTS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4"/>
        </w:rPr>
        <w:t>This Omnibus Amendment (this “</w:t>
      </w:r>
      <w:r>
        <w:rPr>
          <w:rFonts w:ascii="Arial" w:hAnsi="Arial"/>
          <w:b/>
          <w:color w:val="000000"/>
          <w:sz w:val="24"/>
        </w:rPr>
        <w:t>Amendment</w:t>
      </w:r>
      <w:r>
        <w:rPr>
          <w:rFonts w:ascii="Times New Roman" w:hAnsi="Times New Roman"/>
          <w:color w:val="000000"/>
          <w:sz w:val="20"/>
        </w:rPr>
        <w:t>”</w:t>
      </w:r>
      <w:r>
        <w:rPr>
          <w:rFonts w:ascii="Arial" w:hAnsi="Arial"/>
          <w:color w:val="000000"/>
          <w:sz w:val="24"/>
        </w:rPr>
        <w:t>), dated as of July 31, 2025, is made by and among Firefly Aerospace Inc., a Delaware corporation (the “</w:t>
      </w:r>
      <w:r>
        <w:rPr>
          <w:rFonts w:ascii="Arial" w:hAnsi="Arial"/>
          <w:b/>
          <w:color w:val="000000"/>
          <w:sz w:val="24"/>
        </w:rPr>
        <w:t>Company</w:t>
      </w:r>
      <w:r>
        <w:rPr>
          <w:rFonts w:ascii="Times New Roman" w:hAnsi="Times New Roman"/>
          <w:color w:val="000000"/>
          <w:sz w:val="20"/>
        </w:rPr>
        <w:t>”</w:t>
      </w:r>
      <w:r>
        <w:rPr>
          <w:rFonts w:ascii="Arial" w:hAnsi="Arial"/>
          <w:color w:val="000000"/>
          <w:sz w:val="24"/>
        </w:rPr>
        <w:t>), and each of the signatories below under the heading “</w:t>
      </w:r>
      <w:r>
        <w:rPr>
          <w:rFonts w:ascii="Arial" w:hAnsi="Arial"/>
          <w:b/>
          <w:color w:val="000000"/>
          <w:sz w:val="24"/>
        </w:rPr>
        <w:t>Executives</w:t>
      </w:r>
      <w:r>
        <w:rPr>
          <w:rFonts w:ascii="Times New Roman" w:hAnsi="Times New Roman"/>
          <w:color w:val="000000"/>
          <w:sz w:val="20"/>
        </w:rPr>
        <w:t xml:space="preserve">” </w:t>
      </w:r>
      <w:r>
        <w:rPr>
          <w:rFonts w:ascii="Arial" w:hAnsi="Arial"/>
          <w:color w:val="000000"/>
          <w:sz w:val="24"/>
        </w:rPr>
        <w:t>(collectively, the “</w:t>
      </w:r>
      <w:r>
        <w:rPr>
          <w:rFonts w:ascii="Arial" w:hAnsi="Arial"/>
          <w:b/>
          <w:color w:val="000000"/>
          <w:sz w:val="24"/>
        </w:rPr>
        <w:t>Executives</w:t>
      </w:r>
      <w:r>
        <w:rPr>
          <w:rFonts w:ascii="Times New Roman" w:hAnsi="Times New Roman"/>
          <w:color w:val="000000"/>
          <w:sz w:val="20"/>
        </w:rPr>
        <w:t>”</w:t>
      </w:r>
      <w:r>
        <w:rPr>
          <w:rFonts w:ascii="Arial" w:hAnsi="Arial"/>
          <w:color w:val="000000"/>
          <w:sz w:val="24"/>
        </w:rPr>
        <w:t>).</w:t>
      </w:r>
    </w:p>
    <w:p>
      <w:pPr>
        <w:pStyle w:val="TextBody"/>
        <w:bidi w:val="0"/>
        <w:jc w:val="left"/>
        <w:rPr/>
      </w:pPr>
      <w:r>
        <w:rPr/>
        <w:t> </w:t>
      </w:r>
    </w:p>
    <w:p>
      <w:pPr>
        <w:pStyle w:val="TextBody"/>
        <w:bidi w:val="0"/>
        <w:jc w:val="center"/>
        <w:rPr>
          <w:rFonts w:ascii="Arial" w:hAnsi="Arial"/>
          <w:color w:val="000000"/>
          <w:sz w:val="24"/>
          <w:u w:val="single"/>
        </w:rPr>
      </w:pPr>
      <w:r>
        <w:rPr>
          <w:rFonts w:ascii="Arial" w:hAnsi="Arial"/>
          <w:color w:val="000000"/>
          <w:sz w:val="24"/>
          <w:u w:val="single"/>
        </w:rPr>
        <w:t>RECITALS</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4"/>
        </w:rPr>
        <w:t>WHEREAS</w:t>
      </w:r>
      <w:r>
        <w:rPr>
          <w:rFonts w:ascii="Arial" w:hAnsi="Arial"/>
          <w:color w:val="000000"/>
          <w:sz w:val="24"/>
        </w:rPr>
        <w:t>: The Company and the Executives entered into letter agreements governing the terms of their employment with the Company (each letter agreement with an Executive, an “</w:t>
      </w:r>
      <w:r>
        <w:rPr>
          <w:rFonts w:ascii="Arial" w:hAnsi="Arial"/>
          <w:b/>
          <w:color w:val="000000"/>
          <w:sz w:val="24"/>
        </w:rPr>
        <w:t>Executive Agreement</w:t>
      </w:r>
      <w:r>
        <w:rPr>
          <w:rFonts w:ascii="Times New Roman" w:hAnsi="Times New Roman"/>
          <w:color w:val="000000"/>
          <w:sz w:val="20"/>
        </w:rPr>
        <w:t>”</w:t>
      </w:r>
      <w:r>
        <w:rPr>
          <w:rFonts w:ascii="Arial" w:hAnsi="Arial"/>
          <w:color w:val="000000"/>
          <w:sz w:val="24"/>
        </w:rPr>
        <w:t>, and all of the letter agreements, collectively, the “</w:t>
      </w:r>
      <w:r>
        <w:rPr>
          <w:rFonts w:ascii="Arial" w:hAnsi="Arial"/>
          <w:b/>
          <w:color w:val="000000"/>
          <w:sz w:val="24"/>
        </w:rPr>
        <w:t>Executive Agreements</w:t>
      </w:r>
      <w:r>
        <w:rPr>
          <w:rFonts w:ascii="Times New Roman" w:hAnsi="Times New Roman"/>
          <w:color w:val="000000"/>
          <w:sz w:val="20"/>
        </w:rPr>
        <w:t>”</w:t>
      </w:r>
      <w:r>
        <w:rPr>
          <w:rFonts w:ascii="Arial" w:hAnsi="Arial"/>
          <w:color w:val="000000"/>
          <w:sz w:val="24"/>
        </w:rPr>
        <w:t>).</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4"/>
        </w:rPr>
        <w:t>WHEREAS</w:t>
      </w:r>
      <w:r>
        <w:rPr>
          <w:rFonts w:ascii="Arial" w:hAnsi="Arial"/>
          <w:color w:val="000000"/>
          <w:sz w:val="24"/>
        </w:rPr>
        <w:t>: The current Executive Agreements provide that the vested stock options (including those that accelerate and vest upon the occurrence of a Liquidity Event (as such term is defined in the Executive Agreements)) (the “</w:t>
      </w:r>
      <w:r>
        <w:rPr>
          <w:rFonts w:ascii="Arial" w:hAnsi="Arial"/>
          <w:b/>
          <w:color w:val="000000"/>
          <w:sz w:val="24"/>
        </w:rPr>
        <w:t>Options</w:t>
      </w:r>
      <w:r>
        <w:rPr>
          <w:rFonts w:ascii="Times New Roman" w:hAnsi="Times New Roman"/>
          <w:color w:val="000000"/>
          <w:sz w:val="20"/>
        </w:rPr>
        <w:t>”</w:t>
      </w:r>
      <w:r>
        <w:rPr>
          <w:rFonts w:ascii="Arial" w:hAnsi="Arial"/>
          <w:color w:val="000000"/>
          <w:sz w:val="24"/>
        </w:rPr>
        <w:t>) must be exercised (with the Executives paying the exercise price in cash) in connection with the Liquidity Event, otherwise they will be deemed exercised using the Net Exercise method (as defined in the Amended and Restated Firefly Aerospace Inc. 2017 Stock Plan, and any successor plan thereto (the “</w:t>
      </w:r>
      <w:r>
        <w:rPr>
          <w:rFonts w:ascii="Arial" w:hAnsi="Arial"/>
          <w:b/>
          <w:color w:val="000000"/>
          <w:sz w:val="24"/>
        </w:rPr>
        <w:t>Plan</w:t>
      </w:r>
      <w:r>
        <w:rPr>
          <w:rFonts w:ascii="Times New Roman" w:hAnsi="Times New Roman"/>
          <w:color w:val="000000"/>
          <w:sz w:val="20"/>
        </w:rPr>
        <w:t>”</w:t>
      </w:r>
      <w:r>
        <w:rPr>
          <w:rFonts w:ascii="Arial" w:hAnsi="Arial"/>
          <w:color w:val="000000"/>
          <w:sz w:val="24"/>
        </w:rPr>
        <w:t>)) in connection with the Liquidity Event.</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4"/>
        </w:rPr>
        <w:t>WHEREAS</w:t>
      </w:r>
      <w:r>
        <w:rPr>
          <w:rFonts w:ascii="Arial" w:hAnsi="Arial"/>
          <w:color w:val="000000"/>
          <w:sz w:val="24"/>
        </w:rPr>
        <w:t>: The Company and the Executives wish to amend the Executive Agreements to clarify that, upon the occurrence of a Liquidity Event, the Options, to the extent not exercised by the Executives for cash, will not be automatically exercised using the Net Exercise method and may instead continue to be held by the Executives, unexercised, in accordance with the other terms and conditions of the Executive Agreements, Plan and the applicable Stock Option Agreement pursuant to which each Option was granted to the Executives.</w:t>
      </w:r>
    </w:p>
    <w:p>
      <w:pPr>
        <w:pStyle w:val="TextBody"/>
        <w:bidi w:val="0"/>
        <w:jc w:val="left"/>
        <w:rPr/>
      </w:pPr>
      <w:r>
        <w:rPr/>
        <w:t> </w:t>
      </w:r>
    </w:p>
    <w:p>
      <w:pPr>
        <w:pStyle w:val="TextBody"/>
        <w:bidi w:val="0"/>
        <w:spacing w:before="1" w:after="283"/>
        <w:jc w:val="both"/>
        <w:rPr>
          <w:rFonts w:ascii="Times New Roman" w:hAnsi="Times New Roman"/>
          <w:sz w:val="20"/>
        </w:rPr>
      </w:pPr>
      <w:r>
        <w:rPr>
          <w:rFonts w:ascii="Arial" w:hAnsi="Arial"/>
          <w:b/>
          <w:color w:val="000000"/>
          <w:sz w:val="24"/>
        </w:rPr>
        <w:t>WHEREAS</w:t>
      </w:r>
      <w:r>
        <w:rPr>
          <w:rFonts w:ascii="Arial" w:hAnsi="Arial"/>
          <w:color w:val="000000"/>
          <w:sz w:val="24"/>
        </w:rPr>
        <w:t>: The Company and each of the Executives have agreed to amend the Executive Agreements as set forth herein.</w:t>
      </w:r>
    </w:p>
    <w:p>
      <w:pPr>
        <w:pStyle w:val="TextBody"/>
        <w:bidi w:val="0"/>
        <w:spacing w:before="276" w:after="283"/>
        <w:jc w:val="center"/>
        <w:rPr>
          <w:rFonts w:ascii="Arial" w:hAnsi="Arial"/>
          <w:color w:val="000000"/>
          <w:sz w:val="24"/>
          <w:u w:val="single"/>
        </w:rPr>
      </w:pPr>
      <w:r>
        <w:rPr>
          <w:rFonts w:ascii="Arial" w:hAnsi="Arial"/>
          <w:color w:val="000000"/>
          <w:sz w:val="24"/>
          <w:u w:val="single"/>
        </w:rPr>
        <w:t>AGREEMENT</w:t>
      </w:r>
    </w:p>
    <w:p>
      <w:pPr>
        <w:pStyle w:val="TextBody"/>
        <w:bidi w:val="0"/>
        <w:spacing w:before="239" w:after="283"/>
        <w:jc w:val="left"/>
        <w:rPr/>
      </w:pPr>
      <w:r>
        <w:rPr/>
        <w:t> </w:t>
      </w:r>
    </w:p>
    <w:p>
      <w:pPr>
        <w:pStyle w:val="TextBody"/>
        <w:bidi w:val="0"/>
        <w:spacing w:before="1" w:after="283"/>
        <w:jc w:val="both"/>
        <w:rPr>
          <w:rFonts w:ascii="Times New Roman" w:hAnsi="Times New Roman"/>
          <w:sz w:val="20"/>
        </w:rPr>
      </w:pPr>
      <w:r>
        <w:rPr>
          <w:rFonts w:ascii="Arial" w:hAnsi="Arial"/>
          <w:b/>
          <w:color w:val="000000"/>
          <w:sz w:val="24"/>
        </w:rPr>
        <w:t>NOW, THEREFORE</w:t>
      </w:r>
      <w:r>
        <w:rPr>
          <w:rFonts w:ascii="Arial" w:hAnsi="Arial"/>
          <w:color w:val="000000"/>
          <w:sz w:val="24"/>
        </w:rPr>
        <w:t>, the parties hereto hereby agree as follows:</w:t>
      </w:r>
    </w:p>
    <w:p>
      <w:pPr>
        <w:pStyle w:val="TextBody"/>
        <w:bidi w:val="0"/>
        <w:spacing w:before="240" w:after="283"/>
        <w:jc w:val="both"/>
        <w:rPr>
          <w:rFonts w:ascii="Arial" w:hAnsi="Arial"/>
          <w:color w:val="000000"/>
          <w:sz w:val="24"/>
        </w:rPr>
      </w:pPr>
      <w:r>
        <w:rPr>
          <w:rFonts w:ascii="Arial" w:hAnsi="Arial"/>
          <w:color w:val="000000"/>
          <w:sz w:val="24"/>
        </w:rPr>
        <w:t>1.</w:t>
      </w:r>
    </w:p>
    <w:p>
      <w:pPr>
        <w:pStyle w:val="TextBody"/>
        <w:bidi w:val="0"/>
        <w:spacing w:before="240" w:after="283"/>
        <w:jc w:val="both"/>
        <w:rPr/>
      </w:pPr>
      <w:r>
        <w:rPr>
          <w:rFonts w:ascii="Arial" w:hAnsi="Arial"/>
          <w:color w:val="000000"/>
          <w:sz w:val="24"/>
          <w:u w:val="single"/>
        </w:rPr>
        <w:t>Amendment</w:t>
      </w:r>
      <w:r>
        <w:rPr>
          <w:rFonts w:ascii="Arial" w:hAnsi="Arial"/>
          <w:color w:val="000000"/>
          <w:sz w:val="24"/>
        </w:rPr>
        <w:t>. The second bulleted paragraph under the section entitled “Stock Options” of each Executive Agreement is hereby amended and replaced in its entirety as follows:</w:t>
      </w:r>
    </w:p>
    <w:p>
      <w:pPr>
        <w:pStyle w:val="TextBody"/>
        <w:bidi w:val="0"/>
        <w:spacing w:before="240" w:after="283"/>
        <w:jc w:val="both"/>
        <w:rPr>
          <w:color w:val="000000"/>
        </w:rPr>
      </w:pPr>
      <w:r>
        <w:rPr>
          <w:color w:val="000000"/>
        </w:rPr>
        <w:t>“</w:t>
      </w:r>
      <w:r>
        <w:rPr>
          <w:rFonts w:ascii="Arial" w:hAnsi="Arial"/>
          <w:color w:val="000000"/>
          <w:sz w:val="24"/>
        </w:rPr>
        <w:t>Upon the occurrence of a Liquidity Event while you are employed by the Company or any of its Affiliates, any option grants held by you that vest based solely on the passage of time will accelerate in their entirety and immediately become fully vested and exercisable on the effective date of such Liquidity Event, provided that the shares issued upon the exercise of such accelerated portions of the grants</w:t>
      </w:r>
    </w:p>
    <w:p>
      <w:pPr>
        <w:pStyle w:val="TextBody"/>
        <w:bidi w:val="0"/>
        <w:spacing w:before="82" w:after="283"/>
        <w:jc w:val="both"/>
        <w:rPr>
          <w:rFonts w:ascii="Times New Roman" w:hAnsi="Times New Roman"/>
          <w:sz w:val="20"/>
        </w:rPr>
      </w:pPr>
      <w:r>
        <w:rPr>
          <w:rFonts w:ascii="Arial" w:hAnsi="Arial"/>
          <w:color w:val="000000"/>
          <w:sz w:val="24"/>
        </w:rPr>
        <w:t>(such shares, the “</w:t>
      </w:r>
      <w:r>
        <w:rPr>
          <w:rFonts w:ascii="Arial" w:hAnsi="Arial"/>
          <w:b/>
          <w:color w:val="000000"/>
          <w:sz w:val="24"/>
        </w:rPr>
        <w:t>Restricted Shares</w:t>
      </w:r>
      <w:r>
        <w:rPr>
          <w:rFonts w:ascii="Times New Roman" w:hAnsi="Times New Roman"/>
          <w:color w:val="000000"/>
          <w:sz w:val="20"/>
        </w:rPr>
        <w:t>”</w:t>
      </w:r>
      <w:r>
        <w:rPr>
          <w:rFonts w:ascii="Arial" w:hAnsi="Arial"/>
          <w:color w:val="000000"/>
          <w:sz w:val="24"/>
        </w:rPr>
        <w:t>) shall be subject to the below clawback provision. You will have the right, but are not required, to Net-Exercise (as defined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2" w:after="283"/>
        <w:jc w:val="both"/>
        <w:rPr>
          <w:rFonts w:ascii="Times New Roman" w:hAnsi="Times New Roman"/>
          <w:sz w:val="20"/>
        </w:rPr>
      </w:pPr>
      <w:r>
        <w:rPr>
          <w:rFonts w:ascii="Arial" w:hAnsi="Arial"/>
          <w:color w:val="000000"/>
          <w:sz w:val="24"/>
        </w:rPr>
        <w:t>in the applicable Stock Option Agreement) any portion of your vested options and, in connection with such exercise of the vested shares (or portion thereof), elect to have the Company withhold a number of whole shares otherwise issuable in satisfaction of any income or payroll taxes due upon the exercise of such vested options (or portion thereof). Any Restricted Shares shall be subject to clawback/forfeiture over the twelve-month period following the Liquidity Event as follows: the clawback/forfeiture shall lapse with respect to 50% of the Restricted Shares on the six-month anniversary of the Liquidity Event, the clawback/forfeiture shall lapse with respect to another 25% of the Restricted Shares on the nine-month anniversary of the Liquidity Event, and the clawback/forfeiture shall lapse with respect to the remaining 25% of the Restricted Shares in equal monthly amounts (8.34% per month) at the end of each of the ten, eleven and twelve month anniversaries of the Liquidity Event. For purposes of this Agreement, “</w:t>
      </w:r>
      <w:r>
        <w:rPr>
          <w:rFonts w:ascii="Arial" w:hAnsi="Arial"/>
          <w:b/>
          <w:color w:val="000000"/>
          <w:sz w:val="24"/>
        </w:rPr>
        <w:t>Liquidity Event</w:t>
      </w:r>
      <w:r>
        <w:rPr>
          <w:rFonts w:ascii="Times New Roman" w:hAnsi="Times New Roman"/>
          <w:color w:val="000000"/>
          <w:sz w:val="20"/>
        </w:rPr>
        <w:t xml:space="preserve">” </w:t>
      </w:r>
      <w:r>
        <w:rPr>
          <w:rFonts w:ascii="Arial" w:hAnsi="Arial"/>
          <w:color w:val="000000"/>
          <w:sz w:val="24"/>
        </w:rPr>
        <w:t>shall mean a (i) Change of Control (as defined in the Firefly Equity Incentive Plan), or (ii) an initial public offering (including via a merger with a special purpose acquisition company or similar. For the avoidance of doubt, the option grants covering the Restricted Shares shall be subject to the same clawback/forfeiture provisions applicable to the underlying Restricted Shares.”</w:t>
      </w:r>
    </w:p>
    <w:p>
      <w:pPr>
        <w:pStyle w:val="TextBody"/>
        <w:bidi w:val="0"/>
        <w:spacing w:before="240" w:after="283"/>
        <w:jc w:val="left"/>
        <w:rPr>
          <w:rFonts w:ascii="Arial" w:hAnsi="Arial"/>
          <w:color w:val="000000"/>
          <w:sz w:val="24"/>
        </w:rPr>
      </w:pPr>
      <w:r>
        <w:rPr>
          <w:rFonts w:ascii="Arial" w:hAnsi="Arial"/>
          <w:color w:val="000000"/>
          <w:sz w:val="24"/>
        </w:rPr>
        <w:t>2.</w:t>
      </w:r>
    </w:p>
    <w:p>
      <w:pPr>
        <w:pStyle w:val="TextBody"/>
        <w:bidi w:val="0"/>
        <w:spacing w:before="240" w:after="283"/>
        <w:jc w:val="left"/>
        <w:rPr/>
      </w:pPr>
      <w:r>
        <w:rPr>
          <w:rFonts w:ascii="Arial" w:hAnsi="Arial"/>
          <w:color w:val="000000"/>
          <w:sz w:val="24"/>
          <w:u w:val="single"/>
        </w:rPr>
        <w:t>Miscellaneous</w:t>
      </w:r>
      <w:r>
        <w:rPr>
          <w:rFonts w:ascii="Arial" w:hAnsi="Arial"/>
          <w:color w:val="000000"/>
          <w:sz w:val="24"/>
        </w:rPr>
        <w:t>.</w:t>
      </w:r>
    </w:p>
    <w:p>
      <w:pPr>
        <w:pStyle w:val="TextBody"/>
        <w:bidi w:val="0"/>
        <w:spacing w:before="240" w:after="283"/>
        <w:jc w:val="both"/>
        <w:rPr>
          <w:rFonts w:ascii="Arial" w:hAnsi="Arial"/>
          <w:color w:val="000000"/>
          <w:sz w:val="24"/>
        </w:rPr>
      </w:pPr>
      <w:r>
        <w:rPr>
          <w:rFonts w:ascii="Arial" w:hAnsi="Arial"/>
          <w:color w:val="000000"/>
          <w:sz w:val="24"/>
        </w:rPr>
        <w:t>(a)</w:t>
      </w:r>
    </w:p>
    <w:p>
      <w:pPr>
        <w:pStyle w:val="TextBody"/>
        <w:bidi w:val="0"/>
        <w:spacing w:before="240" w:after="283"/>
        <w:jc w:val="both"/>
        <w:rPr>
          <w:rFonts w:ascii="Arial" w:hAnsi="Arial"/>
          <w:color w:val="000000"/>
          <w:sz w:val="24"/>
        </w:rPr>
      </w:pPr>
      <w:r>
        <w:rPr>
          <w:rFonts w:ascii="Arial" w:hAnsi="Arial"/>
          <w:color w:val="000000"/>
          <w:sz w:val="24"/>
        </w:rPr>
        <w:t>Except as expressly set forth in this Amendment, the terms and conditions of the Executive Agreements shall remain in all respects unmodified, and in full force and effect. All references to any Executive Agreement shall be to the applicable Executive Agreement as amended by this Amendment.</w:t>
      </w:r>
    </w:p>
    <w:p>
      <w:pPr>
        <w:pStyle w:val="TextBody"/>
        <w:bidi w:val="0"/>
        <w:spacing w:before="240" w:after="283"/>
        <w:jc w:val="both"/>
        <w:rPr>
          <w:rFonts w:ascii="Arial" w:hAnsi="Arial"/>
          <w:color w:val="000000"/>
          <w:sz w:val="24"/>
        </w:rPr>
      </w:pPr>
      <w:r>
        <w:rPr>
          <w:rFonts w:ascii="Arial" w:hAnsi="Arial"/>
          <w:color w:val="000000"/>
          <w:sz w:val="24"/>
        </w:rPr>
        <w:t>(b)</w:t>
      </w:r>
    </w:p>
    <w:p>
      <w:pPr>
        <w:pStyle w:val="TextBody"/>
        <w:bidi w:val="0"/>
        <w:spacing w:before="240" w:after="283"/>
        <w:jc w:val="both"/>
        <w:rPr/>
      </w:pPr>
      <w:r>
        <w:rPr>
          <w:rFonts w:ascii="Arial" w:hAnsi="Arial"/>
          <w:color w:val="000000"/>
          <w:sz w:val="24"/>
          <w:u w:val="single"/>
        </w:rPr>
        <w:t>Complete Agreement</w:t>
      </w:r>
      <w:r>
        <w:rPr>
          <w:rFonts w:ascii="Arial" w:hAnsi="Arial"/>
          <w:color w:val="000000"/>
          <w:sz w:val="24"/>
        </w:rPr>
        <w:t>. The Executive Agreements, as amended by this Amendment, and any agreements and documents referred to in the Executive Agreements contain the entire agreement and understanding between the parties hereto with respect to the subject matter hereof and supersede all prior agreements and understandings, whether written or oral, relating to such subject matter in any way.</w:t>
      </w:r>
    </w:p>
    <w:p>
      <w:pPr>
        <w:pStyle w:val="TextBody"/>
        <w:bidi w:val="0"/>
        <w:spacing w:before="241" w:after="283"/>
        <w:jc w:val="both"/>
        <w:rPr>
          <w:rFonts w:ascii="Arial" w:hAnsi="Arial"/>
          <w:color w:val="000000"/>
          <w:sz w:val="24"/>
        </w:rPr>
      </w:pPr>
      <w:r>
        <w:rPr>
          <w:rFonts w:ascii="Arial" w:hAnsi="Arial"/>
          <w:color w:val="000000"/>
          <w:sz w:val="24"/>
        </w:rPr>
        <w:t>(c)</w:t>
      </w:r>
    </w:p>
    <w:p>
      <w:pPr>
        <w:pStyle w:val="TextBody"/>
        <w:bidi w:val="0"/>
        <w:spacing w:before="241" w:after="283"/>
        <w:jc w:val="both"/>
        <w:rPr/>
      </w:pPr>
      <w:r>
        <w:rPr>
          <w:rFonts w:ascii="Arial" w:hAnsi="Arial"/>
          <w:color w:val="000000"/>
          <w:sz w:val="24"/>
          <w:u w:val="single"/>
        </w:rPr>
        <w:t>References to the Agreements</w:t>
      </w:r>
      <w:r>
        <w:rPr>
          <w:rFonts w:ascii="Arial" w:hAnsi="Arial"/>
          <w:color w:val="000000"/>
          <w:sz w:val="24"/>
        </w:rPr>
        <w:t>. This Amendment is intended to supplement and be construed together with the Executive Agreements and, upon the effectiveness of this Amendment, each reference in each of the Executive Agreements to “this Agreement”, “hereunder”, “hereof”, “herein”, “herewith” or words of similar import shall mean and be a reference to the applicable Executive Agreement as amended hereby.</w:t>
      </w:r>
    </w:p>
    <w:p>
      <w:pPr>
        <w:pStyle w:val="TextBody"/>
        <w:bidi w:val="0"/>
        <w:spacing w:before="240" w:after="283"/>
        <w:jc w:val="left"/>
        <w:rPr>
          <w:rFonts w:ascii="Arial" w:hAnsi="Arial"/>
          <w:color w:val="000000"/>
          <w:sz w:val="24"/>
        </w:rPr>
      </w:pPr>
      <w:r>
        <w:rPr>
          <w:rFonts w:ascii="Arial" w:hAnsi="Arial"/>
          <w:color w:val="000000"/>
          <w:sz w:val="24"/>
        </w:rPr>
        <w:t>(d)</w:t>
      </w:r>
    </w:p>
    <w:p>
      <w:pPr>
        <w:pStyle w:val="TextBody"/>
        <w:bidi w:val="0"/>
        <w:spacing w:before="240" w:after="283"/>
        <w:jc w:val="left"/>
        <w:rPr>
          <w:rFonts w:ascii="Arial" w:hAnsi="Arial"/>
          <w:color w:val="000000"/>
          <w:sz w:val="24"/>
        </w:rPr>
      </w:pPr>
      <w:r>
        <w:rPr>
          <w:rFonts w:ascii="Arial" w:hAnsi="Arial"/>
          <w:color w:val="000000"/>
          <w:sz w:val="24"/>
        </w:rPr>
        <w:t>This Amendment will be governed by the laws of Texas, without regard to its conflict of laws provisions.</w:t>
      </w:r>
    </w:p>
    <w:p>
      <w:pPr>
        <w:pStyle w:val="TextBody"/>
        <w:bidi w:val="0"/>
        <w:jc w:val="left"/>
        <w:rPr/>
      </w:pPr>
      <w:r>
        <w:rPr/>
        <w:t> </w:t>
      </w:r>
    </w:p>
    <w:p>
      <w:pPr>
        <w:pStyle w:val="TextBody"/>
        <w:bidi w:val="0"/>
        <w:spacing w:before="204" w:after="283"/>
        <w:jc w:val="left"/>
        <w:rPr/>
      </w:pPr>
      <w:r>
        <w:rPr/>
        <w:t> </w:t>
      </w:r>
    </w:p>
    <w:p>
      <w:pPr>
        <w:pStyle w:val="TextBody"/>
        <w:bidi w:val="0"/>
        <w:jc w:val="center"/>
        <w:rPr>
          <w:rFonts w:ascii="Arial" w:hAnsi="Arial"/>
          <w:i/>
          <w:color w:val="000000"/>
          <w:sz w:val="24"/>
        </w:rPr>
      </w:pPr>
      <w:r>
        <w:rPr>
          <w:rFonts w:ascii="Arial" w:hAnsi="Arial"/>
          <w:i/>
          <w:color w:val="000000"/>
          <w:sz w:val="24"/>
        </w:rPr>
        <w:t>[Signature Pages Follow]</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82" w:after="283"/>
        <w:ind w:left="0" w:right="358" w:firstLine="720"/>
        <w:jc w:val="left"/>
        <w:rPr>
          <w:rFonts w:ascii="Times New Roman" w:hAnsi="Times New Roman"/>
          <w:sz w:val="20"/>
        </w:rPr>
      </w:pPr>
      <w:r>
        <w:rPr>
          <w:rFonts w:ascii="Arial" w:hAnsi="Arial"/>
          <w:b/>
          <w:color w:val="000000"/>
          <w:sz w:val="24"/>
        </w:rPr>
        <w:t>IN WITNESS WHEREOF</w:t>
      </w:r>
      <w:r>
        <w:rPr>
          <w:rFonts w:ascii="Arial" w:hAnsi="Arial"/>
          <w:color w:val="000000"/>
          <w:sz w:val="24"/>
        </w:rPr>
        <w:t>, each of the undersigned has executed this Amendment as of the date first written above.</w:t>
      </w:r>
    </w:p>
    <w:p>
      <w:pPr>
        <w:pStyle w:val="TextBody"/>
        <w:bidi w:val="0"/>
        <w:spacing w:before="120" w:after="283"/>
        <w:jc w:val="left"/>
        <w:rPr/>
      </w:pPr>
      <w:r>
        <w:rPr/>
        <w:t> </w:t>
      </w:r>
    </w:p>
    <w:p>
      <w:pPr>
        <w:pStyle w:val="TextBody"/>
        <w:bidi w:val="0"/>
        <w:ind w:left="571" w:right="358" w:hanging="0"/>
        <w:jc w:val="center"/>
        <w:rPr>
          <w:rFonts w:ascii="Times New Roman" w:hAnsi="Times New Roman"/>
          <w:sz w:val="20"/>
        </w:rPr>
      </w:pPr>
      <w:r>
        <w:rPr>
          <w:rFonts w:ascii="Arial" w:hAnsi="Arial"/>
          <w:b/>
          <w:color w:val="000000"/>
          <w:sz w:val="24"/>
          <w:u w:val="single"/>
        </w:rPr>
        <w:t>COMPANY</w:t>
      </w:r>
      <w:r>
        <w:rPr>
          <w:rFonts w:ascii="Arial" w:hAnsi="Arial"/>
          <w:color w:val="000000"/>
          <w:sz w:val="24"/>
        </w:rPr>
        <w:t>:</w:t>
      </w:r>
    </w:p>
    <w:p>
      <w:pPr>
        <w:pStyle w:val="TextBody"/>
        <w:bidi w:val="0"/>
        <w:jc w:val="left"/>
        <w:rPr/>
      </w:pPr>
      <w:r>
        <w:rPr/>
        <w:t> </w:t>
      </w:r>
    </w:p>
    <w:p>
      <w:pPr>
        <w:pStyle w:val="Heading1"/>
        <w:bidi w:val="0"/>
        <w:ind w:left="4320" w:right="0" w:hanging="0"/>
        <w:jc w:val="left"/>
        <w:rPr>
          <w:rFonts w:ascii="Arial" w:hAnsi="Arial"/>
          <w:color w:val="000000"/>
          <w:sz w:val="24"/>
        </w:rPr>
      </w:pPr>
      <w:r>
        <w:rPr>
          <w:rFonts w:ascii="Arial" w:hAnsi="Arial"/>
          <w:color w:val="000000"/>
          <w:sz w:val="24"/>
        </w:rPr>
        <w:t>FIREFLY AEROSPACE INC.</w:t>
      </w:r>
    </w:p>
    <w:p>
      <w:pPr>
        <w:pStyle w:val="TextBody"/>
        <w:bidi w:val="0"/>
        <w:jc w:val="left"/>
        <w:rPr/>
      </w:pPr>
      <w:r>
        <w:rPr/>
        <w:t> </w:t>
      </w:r>
    </w:p>
    <w:p>
      <w:pPr>
        <w:pStyle w:val="TextBody"/>
        <w:bidi w:val="0"/>
        <w:jc w:val="left"/>
        <w:rPr/>
      </w:pPr>
      <w:r>
        <w:rPr/>
        <w:t> </w:t>
      </w:r>
    </w:p>
    <w:p>
      <w:pPr>
        <w:pStyle w:val="TextBody"/>
        <w:bidi w:val="0"/>
        <w:ind w:left="4320" w:right="358" w:hanging="0"/>
        <w:jc w:val="left"/>
        <w:rPr>
          <w:rFonts w:ascii="Arial" w:hAnsi="Arial"/>
          <w:color w:val="000000"/>
          <w:sz w:val="24"/>
        </w:rPr>
      </w:pPr>
      <w:r>
        <w:rPr>
          <w:rFonts w:ascii="Arial" w:hAnsi="Arial"/>
          <w:color w:val="000000"/>
          <w:sz w:val="24"/>
        </w:rPr>
        <w:t>By: /s/ Jason Kim</w:t>
      </w:r>
    </w:p>
    <w:p>
      <w:pPr>
        <w:pStyle w:val="TextBody"/>
        <w:bidi w:val="0"/>
        <w:ind w:left="4320" w:right="0" w:hanging="0"/>
        <w:jc w:val="left"/>
        <w:rPr>
          <w:rFonts w:ascii="Arial" w:hAnsi="Arial"/>
          <w:color w:val="000000"/>
          <w:sz w:val="24"/>
        </w:rPr>
      </w:pPr>
      <w:r>
        <w:rPr>
          <w:rFonts w:ascii="Arial" w:hAnsi="Arial"/>
          <w:color w:val="000000"/>
          <w:sz w:val="24"/>
        </w:rPr>
        <w:t>Name: Jason Kim</w:t>
      </w:r>
    </w:p>
    <w:p>
      <w:pPr>
        <w:pStyle w:val="TextBody"/>
        <w:bidi w:val="0"/>
        <w:ind w:left="4320" w:right="0" w:hanging="0"/>
        <w:jc w:val="left"/>
        <w:rPr>
          <w:rFonts w:ascii="Arial" w:hAnsi="Arial"/>
          <w:color w:val="000000"/>
          <w:sz w:val="24"/>
        </w:rPr>
      </w:pPr>
      <w:r>
        <w:rPr>
          <w:rFonts w:ascii="Arial" w:hAnsi="Arial"/>
          <w:color w:val="000000"/>
          <w:sz w:val="24"/>
        </w:rPr>
        <w:t>Title: President &amp; Chief Executive Officer</w:t>
      </w:r>
    </w:p>
    <w:p>
      <w:pPr>
        <w:pStyle w:val="TextBody"/>
        <w:bidi w:val="0"/>
        <w:spacing w:before="182" w:after="283"/>
        <w:jc w:val="left"/>
        <w:rPr/>
      </w:pPr>
      <w:r>
        <w:rPr/>
        <w:t> </w:t>
      </w:r>
    </w:p>
    <w:p>
      <w:pPr>
        <w:pStyle w:val="TextBody"/>
        <w:bidi w:val="0"/>
        <w:spacing w:before="1" w:after="283"/>
        <w:ind w:left="4320" w:right="358" w:hanging="0"/>
        <w:jc w:val="left"/>
        <w:rPr>
          <w:rFonts w:ascii="Arial" w:hAnsi="Arial"/>
          <w:color w:val="000000"/>
          <w:sz w:val="24"/>
        </w:rPr>
      </w:pPr>
      <w:r>
        <w:rPr>
          <w:rFonts w:ascii="Arial" w:hAnsi="Arial"/>
          <w:color w:val="000000"/>
          <w:sz w:val="24"/>
        </w:rPr>
        <w:t>By: /s/ David Wheeler</w:t>
      </w:r>
    </w:p>
    <w:p>
      <w:pPr>
        <w:pStyle w:val="TextBody"/>
        <w:bidi w:val="0"/>
        <w:ind w:left="4320" w:right="358" w:hanging="0"/>
        <w:jc w:val="left"/>
        <w:rPr>
          <w:rFonts w:ascii="Arial" w:hAnsi="Arial"/>
          <w:color w:val="000000"/>
          <w:sz w:val="24"/>
        </w:rPr>
      </w:pPr>
      <w:r>
        <w:rPr>
          <w:rFonts w:ascii="Arial" w:hAnsi="Arial"/>
          <w:color w:val="000000"/>
          <w:sz w:val="24"/>
        </w:rPr>
        <w:t>Name: David Wheeler</w:t>
      </w:r>
    </w:p>
    <w:p>
      <w:pPr>
        <w:pStyle w:val="TextBody"/>
        <w:bidi w:val="0"/>
        <w:ind w:left="4320" w:right="358" w:hanging="0"/>
        <w:jc w:val="left"/>
        <w:rPr>
          <w:rFonts w:ascii="Arial" w:hAnsi="Arial"/>
          <w:color w:val="000000"/>
          <w:sz w:val="24"/>
        </w:rPr>
      </w:pPr>
      <w:r>
        <w:rPr>
          <w:rFonts w:ascii="Arial" w:hAnsi="Arial"/>
          <w:color w:val="000000"/>
          <w:sz w:val="24"/>
        </w:rPr>
        <w:t>Title: Senior Vice President, General Counsel and Secretary</w:t>
      </w:r>
    </w:p>
    <w:p>
      <w:pPr>
        <w:pStyle w:val="TextBody"/>
        <w:bidi w:val="0"/>
        <w:jc w:val="left"/>
        <w:rPr/>
      </w:pPr>
      <w:r>
        <w:rPr/>
        <w:t> </w:t>
      </w:r>
    </w:p>
    <w:p>
      <w:pPr>
        <w:pStyle w:val="TextBody"/>
        <w:bidi w:val="0"/>
        <w:spacing w:before="201" w:after="283"/>
        <w:jc w:val="left"/>
        <w:rPr/>
      </w:pPr>
      <w:r>
        <w:rPr/>
        <w:t> </w:t>
      </w:r>
    </w:p>
    <w:p>
      <w:pPr>
        <w:pStyle w:val="TextBody"/>
        <w:bidi w:val="0"/>
        <w:ind w:left="4320" w:right="0" w:hanging="0"/>
        <w:jc w:val="left"/>
        <w:rPr>
          <w:rFonts w:ascii="Times New Roman" w:hAnsi="Times New Roman"/>
          <w:sz w:val="20"/>
        </w:rPr>
      </w:pPr>
      <w:r>
        <w:rPr>
          <w:rFonts w:ascii="Arial" w:hAnsi="Arial"/>
          <w:b/>
          <w:color w:val="000000"/>
          <w:sz w:val="24"/>
          <w:u w:val="single"/>
        </w:rPr>
        <w:t>EXECUTIVES</w:t>
      </w:r>
      <w:r>
        <w:rPr>
          <w:rFonts w:ascii="Arial" w:hAnsi="Arial"/>
          <w:color w:val="000000"/>
          <w:sz w:val="24"/>
        </w:rPr>
        <w:t>:</w:t>
      </w:r>
    </w:p>
    <w:p>
      <w:pPr>
        <w:pStyle w:val="TextBody"/>
        <w:bidi w:val="0"/>
        <w:jc w:val="left"/>
        <w:rPr/>
      </w:pPr>
      <w:r>
        <w:rPr/>
        <w:t> </w:t>
      </w:r>
    </w:p>
    <w:p>
      <w:pPr>
        <w:pStyle w:val="TextBody"/>
        <w:bidi w:val="0"/>
        <w:spacing w:before="46" w:after="283"/>
        <w:jc w:val="left"/>
        <w:rPr/>
      </w:pPr>
      <w:r>
        <w:rPr/>
        <w:t> </w:t>
      </w:r>
    </w:p>
    <w:p>
      <w:pPr>
        <w:pStyle w:val="TextBody"/>
        <w:bidi w:val="0"/>
        <w:ind w:left="4320" w:right="358" w:hanging="0"/>
        <w:jc w:val="left"/>
        <w:rPr>
          <w:rFonts w:ascii="Arial" w:hAnsi="Arial"/>
          <w:color w:val="000000"/>
          <w:sz w:val="24"/>
        </w:rPr>
      </w:pPr>
      <w:r>
        <w:rPr>
          <w:rFonts w:ascii="Arial" w:hAnsi="Arial"/>
          <w:color w:val="000000"/>
          <w:sz w:val="24"/>
        </w:rPr>
        <w:t>By: /s/ Jason Kim</w:t>
      </w:r>
    </w:p>
    <w:p>
      <w:pPr>
        <w:pStyle w:val="TextBody"/>
        <w:bidi w:val="0"/>
        <w:ind w:left="4320" w:right="358" w:hanging="0"/>
        <w:jc w:val="left"/>
        <w:rPr>
          <w:rFonts w:ascii="Arial" w:hAnsi="Arial"/>
          <w:color w:val="000000"/>
          <w:sz w:val="24"/>
        </w:rPr>
      </w:pPr>
      <w:r>
        <w:rPr>
          <w:rFonts w:ascii="Arial" w:hAnsi="Arial"/>
          <w:color w:val="000000"/>
          <w:sz w:val="24"/>
        </w:rPr>
        <w:t>Name: Jason Kim</w:t>
      </w:r>
    </w:p>
    <w:p>
      <w:pPr>
        <w:pStyle w:val="TextBody"/>
        <w:bidi w:val="0"/>
        <w:spacing w:before="45" w:after="283"/>
        <w:jc w:val="left"/>
        <w:rPr/>
      </w:pPr>
      <w:r>
        <w:rPr/>
        <w:t> </w:t>
      </w:r>
    </w:p>
    <w:p>
      <w:pPr>
        <w:pStyle w:val="TextBody"/>
        <w:bidi w:val="0"/>
        <w:ind w:left="4320" w:right="358" w:hanging="0"/>
        <w:jc w:val="left"/>
        <w:rPr>
          <w:rFonts w:ascii="Arial" w:hAnsi="Arial"/>
          <w:color w:val="000000"/>
          <w:sz w:val="24"/>
        </w:rPr>
      </w:pPr>
      <w:r>
        <w:rPr>
          <w:rFonts w:ascii="Arial" w:hAnsi="Arial"/>
          <w:color w:val="000000"/>
          <w:sz w:val="24"/>
        </w:rPr>
        <w:t>By: /s/ Darren Ma</w:t>
      </w:r>
    </w:p>
    <w:p>
      <w:pPr>
        <w:pStyle w:val="TextBody"/>
        <w:bidi w:val="0"/>
        <w:ind w:left="4320" w:right="358" w:hanging="0"/>
        <w:jc w:val="left"/>
        <w:rPr>
          <w:rFonts w:ascii="Arial" w:hAnsi="Arial"/>
          <w:color w:val="000000"/>
          <w:sz w:val="24"/>
        </w:rPr>
      </w:pPr>
      <w:r>
        <w:rPr>
          <w:rFonts w:ascii="Arial" w:hAnsi="Arial"/>
          <w:color w:val="000000"/>
          <w:sz w:val="24"/>
        </w:rPr>
        <w:t>Name: Darren Ma</w:t>
      </w:r>
    </w:p>
    <w:p>
      <w:pPr>
        <w:pStyle w:val="TextBody"/>
        <w:bidi w:val="0"/>
        <w:ind w:left="4320" w:right="358"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b/>
          <w:color w:val="000000"/>
          <w:sz w:val="20"/>
        </w:rPr>
      </w:pPr>
      <w:bookmarkStart w:id="41" w:name="fly-ex19_1.htm"/>
      <w:bookmarkStart w:id="42" w:name="ksflyex19_1"/>
      <w:bookmarkEnd w:id="41"/>
      <w:bookmarkEnd w:id="42"/>
      <w:r>
        <w:rPr>
          <w:rFonts w:ascii="Times New Roman" w:hAnsi="Times New Roman"/>
          <w:b/>
          <w:color w:val="000000"/>
          <w:sz w:val="20"/>
        </w:rPr>
        <w:t>Exhibit 19.1</w:t>
      </w:r>
      <w:r>
        <w:br w:type="page"/>
      </w:r>
    </w:p>
    <w:p>
      <w:pPr>
        <w:pStyle w:val="Heading2"/>
        <w:bidi w:val="0"/>
        <w:spacing w:before="237" w:after="283"/>
        <w:jc w:val="center"/>
        <w:rPr>
          <w:rFonts w:ascii="Times New Roman" w:hAnsi="Times New Roman"/>
          <w:color w:val="000000"/>
          <w:sz w:val="20"/>
        </w:rPr>
      </w:pPr>
      <w:bookmarkStart w:id="43" w:name="purpose"/>
      <w:bookmarkEnd w:id="43"/>
      <w:r>
        <w:rPr>
          <w:rFonts w:ascii="Times New Roman" w:hAnsi="Times New Roman"/>
          <w:color w:val="000000"/>
          <w:sz w:val="20"/>
        </w:rPr>
        <w:t>FIREFLY AEROSPACE INC.</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INSIDER TRADING POLICY</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This Insider Trading Policy (the “Policy”) provides guidelines with respect to transactions in the securities of Firefly Aerospace Inc. (the “Company”) and the handling of confidential information about the Company and the companies with which the Company does business. The Company’s Board of Directors (the “Board”)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Regulators have adopted sophisticated surveillance techniques to identify insider trading transactions, and it is important to the Company to avoid even the appearance of impropriety.</w:t>
      </w:r>
    </w:p>
    <w:p>
      <w:pPr>
        <w:pStyle w:val="TextBody"/>
        <w:bidi w:val="0"/>
        <w:spacing w:before="200" w:after="283"/>
        <w:jc w:val="left"/>
        <w:rPr>
          <w:rFonts w:ascii="Times New Roman" w:hAnsi="Times New Roman"/>
          <w:b/>
          <w:color w:val="000000"/>
          <w:sz w:val="20"/>
        </w:rPr>
      </w:pPr>
      <w:bookmarkStart w:id="44" w:name="persons_subject_to_this_policy"/>
      <w:bookmarkEnd w:id="44"/>
      <w:r>
        <w:rPr>
          <w:rFonts w:ascii="Times New Roman" w:hAnsi="Times New Roman"/>
          <w:b/>
          <w:color w:val="000000"/>
          <w:sz w:val="20"/>
        </w:rPr>
        <w:t>PERSONS SUBJECT TO THIS POLICY</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This Policy applies to all directors, officers and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 under “Transactions by Family Members and Others” and “Transactions by Entities You Influence or Control.”</w:t>
      </w:r>
    </w:p>
    <w:p>
      <w:pPr>
        <w:pStyle w:val="TextBody"/>
        <w:bidi w:val="0"/>
        <w:spacing w:before="200" w:after="283"/>
        <w:ind w:left="71" w:right="67" w:firstLine="720"/>
        <w:jc w:val="both"/>
        <w:rPr>
          <w:rFonts w:ascii="Times New Roman" w:hAnsi="Times New Roman"/>
          <w:color w:val="000000"/>
          <w:sz w:val="20"/>
        </w:rPr>
      </w:pPr>
      <w:r>
        <w:rPr>
          <w:rFonts w:ascii="Times New Roman" w:hAnsi="Times New Roman"/>
          <w:color w:val="000000"/>
          <w:sz w:val="20"/>
        </w:rPr>
        <w:t>Annex A to this Policy sets forth additional requirements and restrictions applicable only to directors, officers, accounting employees designated by the General Counsel as being subject to the procedures set forth in Annex A, investor relations employees that assist with earnings releases, legal department employees that assist with preparing SEC filings, any employees on the Company’s disclosure committee, and any other persons designated by the General Counsel as being subject to the procedures set forth in Annex A, as well as the Family Members and Controlled Entities (each as defined herein) of such persons (collectively, “Covered Senior Persons”). The General Counsel maintains a list of Covered Senior Persons and will send a quarterly notice to Covered Senior Persons to remind them of their status.</w:t>
      </w:r>
    </w:p>
    <w:p>
      <w:pPr>
        <w:pStyle w:val="TextBody"/>
        <w:bidi w:val="0"/>
        <w:spacing w:before="200" w:after="283"/>
        <w:ind w:left="71" w:right="67" w:firstLine="720"/>
        <w:jc w:val="both"/>
        <w:rPr>
          <w:rFonts w:ascii="Times New Roman" w:hAnsi="Times New Roman"/>
          <w:color w:val="000000"/>
          <w:sz w:val="20"/>
        </w:rPr>
      </w:pPr>
      <w:r>
        <w:rPr>
          <w:rFonts w:ascii="Times New Roman" w:hAnsi="Times New Roman"/>
          <w:color w:val="000000"/>
          <w:sz w:val="20"/>
        </w:rPr>
        <w:t>All persons subject to this Policy have a duty to cooperate in the operation of this Policy. Compliance with this Policy is a condition of continued employment for all officers and employees of the Company. Failure to comply may result in disciplinary action, up to and including termination of employment.</w:t>
      </w:r>
    </w:p>
    <w:p>
      <w:pPr>
        <w:pStyle w:val="TextBody"/>
        <w:bidi w:val="0"/>
        <w:spacing w:before="200" w:after="283"/>
        <w:jc w:val="left"/>
        <w:rPr>
          <w:rFonts w:ascii="Times New Roman" w:hAnsi="Times New Roman"/>
          <w:b/>
          <w:color w:val="000000"/>
          <w:sz w:val="20"/>
        </w:rPr>
      </w:pPr>
      <w:bookmarkStart w:id="45" w:name="transactions_subject_to_this_policy"/>
      <w:bookmarkEnd w:id="45"/>
      <w:r>
        <w:rPr>
          <w:rFonts w:ascii="Times New Roman" w:hAnsi="Times New Roman"/>
          <w:b/>
          <w:color w:val="000000"/>
          <w:sz w:val="20"/>
        </w:rPr>
        <w:t>TRANSACTIONS SUBJECT TO THIS POLICY</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This Policy applies to transactions in the Company’s securities (collectively referred to in this Policy as “Company Securities”), including the Company’s common stock, options to purchase common stock, or any other type of securities that the Company may issue, including (but not limited to) debt securities, preferred stock, convertible debentures and warrants, as well as derivative securities that are not issued by the Company, such as exchange-traded put or call options or swaps relating to Company Securities. Transactions subject to this Policy include purchases and sales of Company Securities as well as bona fide gifts of Company Securities to persons and entities who are not covered by this Policy.</w:t>
      </w:r>
    </w:p>
    <w:p>
      <w:pPr>
        <w:pStyle w:val="TextBody"/>
        <w:bidi w:val="0"/>
        <w:spacing w:before="200" w:after="283"/>
        <w:ind w:left="72" w:right="0" w:hanging="0"/>
        <w:jc w:val="left"/>
        <w:rPr>
          <w:rFonts w:ascii="Times New Roman" w:hAnsi="Times New Roman"/>
          <w:b/>
          <w:color w:val="000000"/>
          <w:sz w:val="20"/>
        </w:rPr>
      </w:pPr>
      <w:bookmarkStart w:id="46" w:name="individual_responsibility"/>
      <w:bookmarkEnd w:id="46"/>
      <w:r>
        <w:rPr>
          <w:rFonts w:ascii="Times New Roman" w:hAnsi="Times New Roman"/>
          <w:b/>
          <w:color w:val="000000"/>
          <w:sz w:val="20"/>
        </w:rPr>
        <w:t>INDIVIDUAL RESPONSIBILITY</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also complies with this Policy. In all cases, the responsibility for determining whether an individual is in possession of material nonpublic information rests with that individual, and any action on the part of the Company, the General Counsel or any other officer,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pStyle w:val="TextBody"/>
        <w:bidi w:val="0"/>
        <w:spacing w:before="200" w:after="283"/>
        <w:ind w:left="72" w:right="0" w:hanging="0"/>
        <w:jc w:val="left"/>
        <w:rPr>
          <w:rFonts w:ascii="Times New Roman" w:hAnsi="Times New Roman"/>
          <w:b/>
          <w:color w:val="000000"/>
          <w:sz w:val="20"/>
        </w:rPr>
      </w:pPr>
      <w:bookmarkStart w:id="47" w:name="statement_of_policy"/>
      <w:bookmarkEnd w:id="47"/>
      <w:r>
        <w:rPr>
          <w:rFonts w:ascii="Times New Roman" w:hAnsi="Times New Roman"/>
          <w:b/>
          <w:color w:val="000000"/>
          <w:sz w:val="20"/>
        </w:rPr>
        <w:t>STATEMENT OF POLICY</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It is the policy of the Company that no director, officer or other employee of the Company (or any other person designated by this Policy or by the General Counsel as being subject to this Policy) who is aware of material nonpublic information relating to the Company may, directly, or indirectly through family members or other persons or entities:</w:t>
      </w:r>
    </w:p>
    <w:p>
      <w:pPr>
        <w:pStyle w:val="TextBody"/>
        <w:bidi w:val="0"/>
        <w:spacing w:before="119" w:after="283"/>
        <w:ind w:left="432" w:right="72" w:hanging="0"/>
        <w:jc w:val="both"/>
        <w:rPr>
          <w:rFonts w:ascii="Calibri" w:hAnsi="Calibri"/>
          <w:color w:val="000000"/>
          <w:sz w:val="24"/>
        </w:rPr>
      </w:pPr>
      <w:r>
        <w:rPr>
          <w:rFonts w:ascii="Calibri" w:hAnsi="Calibri"/>
          <w:color w:val="000000"/>
          <w:sz w:val="24"/>
        </w:rPr>
        <w:t>1.</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Engage in transactions in Company Securities, except as otherwise specified in this Policy under the headings “Transactions Under Company Plans and Certain Other Transactions” and “Rule 10b5-1 Plans”;</w:t>
      </w:r>
    </w:p>
    <w:p>
      <w:pPr>
        <w:pStyle w:val="TextBody"/>
        <w:bidi w:val="0"/>
        <w:spacing w:before="120" w:after="283"/>
        <w:ind w:left="432" w:right="0" w:hanging="0"/>
        <w:jc w:val="both"/>
        <w:rPr>
          <w:rFonts w:ascii="Calibri" w:hAnsi="Calibri"/>
          <w:color w:val="000000"/>
          <w:sz w:val="24"/>
        </w:rPr>
      </w:pPr>
      <w:r>
        <w:rPr>
          <w:rFonts w:ascii="Calibri" w:hAnsi="Calibri"/>
          <w:color w:val="000000"/>
          <w:sz w:val="24"/>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Recommend the purchase or sale of any Company Securities;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17" w:after="283"/>
        <w:ind w:left="432" w:right="72" w:hanging="0"/>
        <w:jc w:val="both"/>
        <w:rPr>
          <w:rFonts w:ascii="Calibri" w:hAnsi="Calibri"/>
          <w:color w:val="000000"/>
          <w:sz w:val="24"/>
        </w:rPr>
      </w:pPr>
      <w:r>
        <w:rPr>
          <w:rFonts w:ascii="Calibri" w:hAnsi="Calibri"/>
          <w:color w:val="000000"/>
          <w:sz w:val="24"/>
        </w:rPr>
        <w:t>3.</w:t>
      </w:r>
    </w:p>
    <w:p>
      <w:pPr>
        <w:pStyle w:val="TextBody"/>
        <w:bidi w:val="0"/>
        <w:spacing w:before="117" w:after="283"/>
        <w:jc w:val="both"/>
        <w:rPr>
          <w:rFonts w:ascii="Times New Roman" w:hAnsi="Times New Roman"/>
          <w:color w:val="000000"/>
          <w:sz w:val="20"/>
        </w:rPr>
      </w:pPr>
      <w:r>
        <w:rPr>
          <w:rFonts w:ascii="Times New Roman" w:hAnsi="Times New Roman"/>
          <w:color w:val="000000"/>
          <w:sz w:val="20"/>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pStyle w:val="TextBody"/>
        <w:bidi w:val="0"/>
        <w:spacing w:before="118" w:after="283"/>
        <w:ind w:left="432" w:right="0" w:hanging="0"/>
        <w:jc w:val="both"/>
        <w:rPr>
          <w:rFonts w:ascii="Calibri" w:hAnsi="Calibri"/>
          <w:color w:val="000000"/>
          <w:sz w:val="24"/>
        </w:rPr>
      </w:pPr>
      <w:r>
        <w:rPr>
          <w:rFonts w:ascii="Calibri" w:hAnsi="Calibri"/>
          <w:color w:val="000000"/>
          <w:sz w:val="24"/>
        </w:rPr>
        <w:t>4.</w:t>
      </w:r>
    </w:p>
    <w:p>
      <w:pPr>
        <w:pStyle w:val="TextBody"/>
        <w:bidi w:val="0"/>
        <w:spacing w:before="118" w:after="283"/>
        <w:jc w:val="both"/>
        <w:rPr>
          <w:rFonts w:ascii="Times New Roman" w:hAnsi="Times New Roman"/>
          <w:color w:val="000000"/>
          <w:sz w:val="20"/>
        </w:rPr>
      </w:pPr>
      <w:r>
        <w:rPr>
          <w:rFonts w:ascii="Times New Roman" w:hAnsi="Times New Roman"/>
          <w:color w:val="000000"/>
          <w:sz w:val="20"/>
        </w:rPr>
        <w:t>Assist anyone engaged in the above activities.</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In addition, it is the policy of the Company that no director, officer or other employee of the Company (or any other person designated as being subject to this Policy) who, in the course of working for the Company, comes into possession of material nonpublic information about a company with which the Company does business, including a customer or supplier of the Company, or that is involved in a potential transaction or business relationship with the Company, may trade in that company’s securities until the information becomes public or is no longer material.</w:t>
      </w:r>
    </w:p>
    <w:p>
      <w:pPr>
        <w:pStyle w:val="TextBody"/>
        <w:bidi w:val="0"/>
        <w:spacing w:before="200" w:after="283"/>
        <w:ind w:left="72" w:right="0" w:hanging="0"/>
        <w:jc w:val="left"/>
        <w:rPr>
          <w:rFonts w:ascii="Times New Roman" w:hAnsi="Times New Roman"/>
          <w:b/>
          <w:color w:val="000000"/>
          <w:sz w:val="20"/>
        </w:rPr>
      </w:pPr>
      <w:bookmarkStart w:id="48" w:name="definition_of_material_nonpublic_informa"/>
      <w:bookmarkEnd w:id="48"/>
      <w:r>
        <w:rPr>
          <w:rFonts w:ascii="Times New Roman" w:hAnsi="Times New Roman"/>
          <w:b/>
          <w:color w:val="000000"/>
          <w:sz w:val="20"/>
        </w:rPr>
        <w:t>DEFINITION OF MATERIAL NONPUBLIC INFORMATION</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Material Information: 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Projections of future earnings or losses, or other earnings guidance;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previously announced earnings guidance, or the decision to suspend earnings guidance;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pending or proposed merger, acquisition or tender offer;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pending or proposed acquisition or disposition of a significant asset or business;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pending or proposed joint venture;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Company restructuring;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related party transactions;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dividend policy, the declaration of a stock split, or an offering of additional securities;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Bank borrowings or other financing transactions out of the ordinary course;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establishment of a repurchase program for Company Securities;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the Company’s pricing or cost structure;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Major marketing changes;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executive management;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auditors or notification that the auditor’s reports may no longer be relied upon;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a significant new product, process, or service;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Pending or threatened significant litigation, or the resolution of such litigation;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Impending bankruptcy or the existence of severe liquidity problems;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gain or loss of a significant customer or supplier;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significant cybersecurity incident;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imposition of a ban on trading in Company Securities or the securities of another company.</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If you are unsure whether information is material, you should either consult the General Counsel before making any decision to disclose such information (other than to persons who need to know it) or to trade in or recommend trading in securities to which that information relates or assume that the information is material.</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 xml:space="preserve">When Information is Considered Public: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 that are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ind w:left="72" w:right="72" w:hanging="0"/>
        <w:jc w:val="both"/>
        <w:rPr>
          <w:rFonts w:ascii="Times New Roman" w:hAnsi="Times New Roman"/>
          <w:color w:val="000000"/>
          <w:sz w:val="20"/>
        </w:rPr>
      </w:pPr>
      <w:r>
        <w:rPr>
          <w:rFonts w:ascii="Times New Roman" w:hAnsi="Times New Roman"/>
          <w:color w:val="000000"/>
          <w:sz w:val="20"/>
        </w:rPr>
        <w:t>available on the SEC’s website. By contrast, information would likely not be considered widely disseminated if it is available only to the Company’s employees, or if it is only available to a select group of analysts, brokers or institutional investors.</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Once information is widely disseminated, it is still necessary to afford the investing public with sufficient time to absorb the information. As a general rule, information should not be considered fully absorbed by the marketplace until after the second trading day following the public announcement of the information. If, for example, the Company were to make an announcement after the close of trading on a Monday, you should not trade in Company Securities until Thursday. Depending on the particular circumstances, the Company may determine that a longer or shorter period should apply to the release of specific material nonpublic information.</w:t>
      </w:r>
    </w:p>
    <w:p>
      <w:pPr>
        <w:pStyle w:val="TextBody"/>
        <w:bidi w:val="0"/>
        <w:spacing w:before="200" w:after="283"/>
        <w:ind w:left="72" w:right="0" w:hanging="0"/>
        <w:jc w:val="left"/>
        <w:rPr>
          <w:rFonts w:ascii="Times New Roman" w:hAnsi="Times New Roman"/>
          <w:b/>
          <w:color w:val="000000"/>
          <w:sz w:val="20"/>
        </w:rPr>
      </w:pPr>
      <w:bookmarkStart w:id="49" w:name="transactions_by_family_members_and_other"/>
      <w:bookmarkEnd w:id="49"/>
      <w:r>
        <w:rPr>
          <w:rFonts w:ascii="Times New Roman" w:hAnsi="Times New Roman"/>
          <w:b/>
          <w:color w:val="000000"/>
          <w:sz w:val="20"/>
        </w:rPr>
        <w:t>TRANSACTIONS BY FAMILY MEMBERS AND OTHERS</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pStyle w:val="TextBody"/>
        <w:bidi w:val="0"/>
        <w:spacing w:before="200" w:after="283"/>
        <w:ind w:left="72" w:right="0" w:hanging="0"/>
        <w:jc w:val="left"/>
        <w:rPr>
          <w:rFonts w:ascii="Times New Roman" w:hAnsi="Times New Roman"/>
          <w:b/>
          <w:color w:val="000000"/>
          <w:sz w:val="20"/>
        </w:rPr>
      </w:pPr>
      <w:bookmarkStart w:id="50" w:name="transactions_by_entities_that_you_influe"/>
      <w:bookmarkEnd w:id="50"/>
      <w:r>
        <w:rPr>
          <w:rFonts w:ascii="Times New Roman" w:hAnsi="Times New Roman"/>
          <w:b/>
          <w:color w:val="000000"/>
          <w:sz w:val="20"/>
        </w:rPr>
        <w:t>TRANSACTIONS BY ENTITIES THAT YOU INFLUENCE OR CONTROL</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This Policy applies to any entities that you or any of your Family Members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 Notwithstanding the foregoing, this Policy does not apply to any such entity that engages in the investment of securities in the ordinary course of its business and has established controls and procedures for compliance with the applicable securities laws.</w:t>
      </w:r>
    </w:p>
    <w:p>
      <w:pPr>
        <w:pStyle w:val="TextBody"/>
        <w:bidi w:val="0"/>
        <w:spacing w:before="200" w:after="283"/>
        <w:ind w:left="72" w:right="68" w:hanging="0"/>
        <w:jc w:val="left"/>
        <w:rPr>
          <w:rFonts w:ascii="Times New Roman" w:hAnsi="Times New Roman"/>
          <w:b/>
          <w:color w:val="000000"/>
          <w:sz w:val="20"/>
        </w:rPr>
      </w:pPr>
      <w:bookmarkStart w:id="51" w:name="transactions_under_company_plans_and_cer"/>
      <w:bookmarkEnd w:id="51"/>
      <w:r>
        <w:rPr>
          <w:rFonts w:ascii="Times New Roman" w:hAnsi="Times New Roman"/>
          <w:b/>
          <w:color w:val="000000"/>
          <w:sz w:val="20"/>
        </w:rPr>
        <w:t>TRANSACTIONS UNDER COMPANY PLANS AND CERTAIN OTHER TRANSACTIONS</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This Policy does not apply to the transactions listed below, except as specifically noted in the paragraphs below. Please note, however, that Covered Senior Persons are required to comply with the pre-clearance and trading restriction requirements set forth in Annex A with respect to these transactions:</w:t>
      </w:r>
    </w:p>
    <w:p>
      <w:pPr>
        <w:pStyle w:val="TextBody"/>
        <w:bidi w:val="0"/>
        <w:spacing w:before="122" w:after="283"/>
        <w:ind w:left="489" w:right="72" w:hanging="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2" w:after="283"/>
        <w:jc w:val="both"/>
        <w:rPr/>
      </w:pPr>
      <w:r>
        <w:rPr>
          <w:rFonts w:ascii="Times New Roman" w:hAnsi="Times New Roman"/>
          <w:b/>
          <w:color w:val="000000"/>
          <w:sz w:val="20"/>
          <w:u w:val="single"/>
        </w:rPr>
        <w:t>Stock Option Exercises</w:t>
      </w:r>
      <w:r>
        <w:rPr>
          <w:rFonts w:ascii="Times New Roman" w:hAnsi="Times New Roman"/>
          <w:color w:val="000000"/>
          <w:sz w:val="20"/>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or the tax liability associated with, an option.</w:t>
      </w:r>
    </w:p>
    <w:p>
      <w:pPr>
        <w:pStyle w:val="TextBody"/>
        <w:bidi w:val="0"/>
        <w:spacing w:before="129" w:after="283"/>
        <w:ind w:left="489" w:right="72" w:hanging="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9" w:after="283"/>
        <w:jc w:val="both"/>
        <w:rPr/>
      </w:pPr>
      <w:r>
        <w:rPr>
          <w:rFonts w:ascii="Times New Roman" w:hAnsi="Times New Roman"/>
          <w:b/>
          <w:color w:val="000000"/>
          <w:sz w:val="20"/>
          <w:u w:val="single"/>
        </w:rPr>
        <w:t>Restricted Stock Awards</w:t>
      </w:r>
      <w:r>
        <w:rPr>
          <w:rFonts w:ascii="Times New Roman" w:hAnsi="Times New Roman"/>
          <w:color w:val="000000"/>
          <w:sz w:val="20"/>
        </w:rPr>
        <w:t>: This Policy does not apply to the vesting of restricted stock or restricted stock units, or the exercise of a tax withholding right pursuant to which you elect to have the Company withhold shares of stock to satisfy tax withholding requirements upon the vesting of any restricted stock or restricted stock units. This Policy does apply, however, to any market sale of the Company Securities received upon such vesting.</w:t>
      </w:r>
    </w:p>
    <w:p>
      <w:pPr>
        <w:pStyle w:val="TextBody"/>
        <w:bidi w:val="0"/>
        <w:spacing w:before="124" w:after="283"/>
        <w:ind w:left="489" w:right="72" w:hanging="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24" w:after="283"/>
        <w:jc w:val="both"/>
        <w:rPr/>
      </w:pPr>
      <w:r>
        <w:rPr>
          <w:rFonts w:ascii="Times New Roman" w:hAnsi="Times New Roman"/>
          <w:b/>
          <w:color w:val="000000"/>
          <w:sz w:val="20"/>
          <w:u w:val="single"/>
        </w:rPr>
        <w:t>401(k) and Defined Contribution Plans</w:t>
      </w:r>
      <w:r>
        <w:rPr>
          <w:rFonts w:ascii="Times New Roman" w:hAnsi="Times New Roman"/>
          <w:color w:val="000000"/>
          <w:sz w:val="20"/>
        </w:rPr>
        <w:t>: This Policy does not apply to purchases of Company Securities in the Company’s 401(k) and defined contribution plans resulting from your periodic contribution of money to the plan pursuant to your payroll deduction election. This Policy does apply, however, to certain elections you may make under such plans,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plan accounts if the loan will result in a liquidation of some or all of your Company stock fund balance; and (d) an election to pre-pay a plan loan if the pre-payment will result in allocation of loan proceeds to the Company stock fund.</w:t>
      </w:r>
    </w:p>
    <w:p>
      <w:pPr>
        <w:pStyle w:val="TextBody"/>
        <w:bidi w:val="0"/>
        <w:spacing w:before="127" w:after="283"/>
        <w:ind w:left="489" w:right="72" w:hanging="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7" w:after="283"/>
        <w:jc w:val="both"/>
        <w:rPr/>
      </w:pPr>
      <w:r>
        <w:rPr>
          <w:rFonts w:ascii="Times New Roman" w:hAnsi="Times New Roman"/>
          <w:b/>
          <w:color w:val="000000"/>
          <w:sz w:val="20"/>
          <w:u w:val="single"/>
        </w:rPr>
        <w:t>Employee Stock Purchase Plan</w:t>
      </w:r>
      <w:r>
        <w:rPr>
          <w:rFonts w:ascii="Times New Roman" w:hAnsi="Times New Roman"/>
          <w:color w:val="000000"/>
          <w:sz w:val="20"/>
        </w:rPr>
        <w:t>: This Policy does not apply to purchases of Company Securities in the employee stock purchase plan resulting from your periodic or lump sum contribution of money to the plan pursuant to the election you made at the time of your enrollment in the plan. This Policy does apply, however, to your initial election to participate in the plan, changes to your election to participate in the plan for any enrollment period, and to your sales of Company Securities purchased pursuant to the plan.</w:t>
      </w:r>
    </w:p>
    <w:p>
      <w:pPr>
        <w:pStyle w:val="TextBody"/>
        <w:bidi w:val="0"/>
        <w:spacing w:before="128" w:after="283"/>
        <w:ind w:left="489" w:right="72" w:hanging="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8" w:after="283"/>
        <w:jc w:val="both"/>
        <w:rPr/>
      </w:pPr>
      <w:r>
        <w:rPr>
          <w:rFonts w:ascii="Times New Roman" w:hAnsi="Times New Roman"/>
          <w:b/>
          <w:color w:val="000000"/>
          <w:sz w:val="20"/>
          <w:u w:val="single"/>
        </w:rPr>
        <w:t>Dividend Reinvestment Plan</w:t>
      </w:r>
      <w:r>
        <w:rPr>
          <w:rFonts w:ascii="Times New Roman" w:hAnsi="Times New Roman"/>
          <w:color w:val="000000"/>
          <w:sz w:val="20"/>
        </w:rPr>
        <w:t>: This Policy does not apply to purchases of Company Securities under the Company’s dividend reinvestment plan resulting from your reinvestment of dividends paid on Company Securities. 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6" w:after="283"/>
        <w:ind w:left="489" w:right="72" w:hanging="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6" w:after="283"/>
        <w:jc w:val="both"/>
        <w:rPr/>
      </w:pPr>
      <w:r>
        <w:rPr>
          <w:rFonts w:ascii="Times New Roman" w:hAnsi="Times New Roman"/>
          <w:b/>
          <w:color w:val="000000"/>
          <w:sz w:val="20"/>
          <w:u w:val="single"/>
        </w:rPr>
        <w:t>Other Similar Transactions</w:t>
      </w:r>
      <w:r>
        <w:rPr>
          <w:rFonts w:ascii="Times New Roman" w:hAnsi="Times New Roman"/>
          <w:color w:val="000000"/>
          <w:sz w:val="20"/>
        </w:rPr>
        <w:t>: Any other purchase of Company Securities from the Company or sales of Company Securities to the Company are not subject to this Policy.</w:t>
      </w:r>
    </w:p>
    <w:p>
      <w:pPr>
        <w:pStyle w:val="TextBody"/>
        <w:bidi w:val="0"/>
        <w:spacing w:before="123" w:after="283"/>
        <w:ind w:left="489" w:right="72" w:hanging="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3" w:after="283"/>
        <w:jc w:val="both"/>
        <w:rPr/>
      </w:pPr>
      <w:r>
        <w:rPr>
          <w:rFonts w:ascii="Times New Roman" w:hAnsi="Times New Roman"/>
          <w:b/>
          <w:color w:val="000000"/>
          <w:sz w:val="20"/>
          <w:u w:val="single"/>
        </w:rPr>
        <w:t>Mutual Funds</w:t>
      </w:r>
      <w:r>
        <w:rPr>
          <w:rFonts w:ascii="Times New Roman" w:hAnsi="Times New Roman"/>
          <w:color w:val="000000"/>
          <w:sz w:val="20"/>
        </w:rPr>
        <w:t>: Transactions in mutual funds that are invested in Company Securities are not transactions subject to this Policy.</w:t>
      </w:r>
    </w:p>
    <w:p>
      <w:pPr>
        <w:pStyle w:val="TextBody"/>
        <w:bidi w:val="0"/>
        <w:spacing w:before="200" w:after="283"/>
        <w:ind w:left="72" w:right="68" w:hanging="0"/>
        <w:jc w:val="left"/>
        <w:rPr>
          <w:rFonts w:ascii="Times New Roman" w:hAnsi="Times New Roman"/>
          <w:b/>
          <w:color w:val="000000"/>
          <w:sz w:val="20"/>
        </w:rPr>
      </w:pPr>
      <w:bookmarkStart w:id="52" w:name="special_and_prohibited_transactions"/>
      <w:bookmarkEnd w:id="52"/>
      <w:r>
        <w:rPr>
          <w:rFonts w:ascii="Times New Roman" w:hAnsi="Times New Roman"/>
          <w:b/>
          <w:color w:val="000000"/>
          <w:sz w:val="20"/>
        </w:rPr>
        <w:t>SPECIAL AND PROHIBITED TRANSACTIONS</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pStyle w:val="TextBody"/>
        <w:bidi w:val="0"/>
        <w:spacing w:before="125" w:after="283"/>
        <w:ind w:left="489" w:right="72" w:hanging="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5" w:after="283"/>
        <w:jc w:val="both"/>
        <w:rPr/>
      </w:pPr>
      <w:r>
        <w:rPr>
          <w:rFonts w:ascii="Times New Roman" w:hAnsi="Times New Roman"/>
          <w:b/>
          <w:color w:val="000000"/>
          <w:sz w:val="20"/>
          <w:u w:val="single"/>
        </w:rPr>
        <w:t>Short-Term Trading</w:t>
      </w:r>
      <w:r>
        <w:rPr>
          <w:rFonts w:ascii="Times New Roman" w:hAnsi="Times New Roman"/>
          <w:color w:val="000000"/>
          <w:sz w:val="20"/>
        </w:rPr>
        <w:t>: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pStyle w:val="TextBody"/>
        <w:bidi w:val="0"/>
        <w:spacing w:before="128" w:after="283"/>
        <w:ind w:left="489" w:right="72" w:hanging="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8" w:after="283"/>
        <w:jc w:val="both"/>
        <w:rPr/>
      </w:pPr>
      <w:r>
        <w:rPr>
          <w:rFonts w:ascii="Times New Roman" w:hAnsi="Times New Roman"/>
          <w:b/>
          <w:color w:val="000000"/>
          <w:sz w:val="20"/>
          <w:u w:val="single"/>
        </w:rPr>
        <w:t>Short Sales</w:t>
      </w:r>
      <w:r>
        <w:rPr>
          <w:rFonts w:ascii="Times New Roman" w:hAnsi="Times New Roman"/>
          <w:color w:val="000000"/>
          <w:sz w:val="20"/>
        </w:rPr>
        <w:t>: Short sales of Company Securities (</w:t>
      </w:r>
      <w:r>
        <w:rPr>
          <w:rFonts w:ascii="Times New Roman" w:hAnsi="Times New Roman"/>
          <w:i/>
          <w:color w:val="000000"/>
          <w:sz w:val="20"/>
        </w:rPr>
        <w:t>i.e.</w:t>
      </w:r>
      <w:r>
        <w:rPr>
          <w:rFonts w:ascii="Times New Roman" w:hAnsi="Times New Roman"/>
          <w:color w:val="000000"/>
          <w:sz w:val="20"/>
        </w:rPr>
        <w:t>, the sale of a security that the seller does not own) may evidence an expectation on the part of the seller that the Company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pStyle w:val="TextBody"/>
        <w:bidi w:val="0"/>
        <w:spacing w:before="125" w:after="283"/>
        <w:ind w:left="489" w:right="72" w:hanging="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25" w:after="283"/>
        <w:jc w:val="both"/>
        <w:rPr/>
      </w:pPr>
      <w:r>
        <w:rPr>
          <w:rFonts w:ascii="Times New Roman" w:hAnsi="Times New Roman"/>
          <w:b/>
          <w:color w:val="000000"/>
          <w:sz w:val="20"/>
          <w:u w:val="single"/>
        </w:rPr>
        <w:t>Publicly-Traded Options</w:t>
      </w:r>
      <w:r>
        <w:rPr>
          <w:rFonts w:ascii="Times New Roman" w:hAnsi="Times New Roman"/>
          <w:color w:val="000000"/>
          <w:sz w:val="20"/>
        </w:rPr>
        <w:t>: Given the relatively short term of publicly-traded options, transactions in options may create the appearance that a director, officer or other employee of the Company is trading based on material nonpublic information and focus such person’s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paragraph below captioned “Hedging Transactions.”)</w:t>
      </w:r>
    </w:p>
    <w:p>
      <w:pPr>
        <w:pStyle w:val="TextBody"/>
        <w:bidi w:val="0"/>
        <w:spacing w:before="129" w:after="283"/>
        <w:ind w:left="489" w:right="72" w:hanging="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9" w:after="283"/>
        <w:jc w:val="both"/>
        <w:rPr/>
      </w:pPr>
      <w:r>
        <w:rPr>
          <w:rFonts w:ascii="Times New Roman" w:hAnsi="Times New Roman"/>
          <w:b/>
          <w:color w:val="000000"/>
          <w:sz w:val="20"/>
          <w:u w:val="single"/>
        </w:rPr>
        <w:t>Hedging Transactions</w:t>
      </w:r>
      <w:r>
        <w:rPr>
          <w:rFonts w:ascii="Times New Roman" w:hAnsi="Times New Roman"/>
          <w:color w:val="000000"/>
          <w:sz w:val="20"/>
        </w:rPr>
        <w:t>: Hedging or monetization transactions can be accomplished through a number of different mechanisms designed to allow a director, officer or other employee to continue to own Company Securities obtained through employee benefit plans or otherwise, but without the full risks and rewards of ownership. When that occurs, the director, officer or other employee may no longer have the same objectives as the Company’s other stockholders. Therefore, the Company prohibits you from purchasing financial instruments, including prepaid variable forward contracts, instruments for the short sale or purchase or sale of call or put options, equity swaps, collars, or units of exchangeable funds that are based on fluctuations of the Company Securities and that are designed to or that may reasonably be expected to have the effect of hedging or offsetting a decrease in the market value of any Company Securities.</w:t>
      </w:r>
    </w:p>
    <w:p>
      <w:pPr>
        <w:pStyle w:val="TextBody"/>
        <w:bidi w:val="0"/>
        <w:spacing w:before="130" w:after="283"/>
        <w:ind w:left="489" w:right="72" w:hanging="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30" w:after="283"/>
        <w:jc w:val="both"/>
        <w:rPr/>
      </w:pPr>
      <w:r>
        <w:rPr>
          <w:rFonts w:ascii="Times New Roman" w:hAnsi="Times New Roman"/>
          <w:b/>
          <w:color w:val="000000"/>
          <w:sz w:val="20"/>
          <w:u w:val="single"/>
        </w:rPr>
        <w:t>Margin Accounts and Pledging Transactions</w:t>
      </w:r>
      <w:r>
        <w:rPr>
          <w:rFonts w:ascii="Times New Roman" w:hAnsi="Times New Roman"/>
          <w:color w:val="000000"/>
          <w:sz w:val="20"/>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pStyle w:val="TextBody"/>
        <w:bidi w:val="0"/>
        <w:spacing w:before="128" w:after="283"/>
        <w:ind w:left="489" w:right="58" w:hanging="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8" w:after="283"/>
        <w:jc w:val="both"/>
        <w:rPr/>
      </w:pPr>
      <w:r>
        <w:rPr>
          <w:rFonts w:ascii="Times New Roman" w:hAnsi="Times New Roman"/>
          <w:b/>
          <w:color w:val="000000"/>
          <w:sz w:val="20"/>
          <w:u w:val="single"/>
        </w:rPr>
        <w:t>Standing and Limit Orders</w:t>
      </w:r>
      <w:r>
        <w:rPr>
          <w:rFonts w:ascii="Times New Roman" w:hAnsi="Times New Roman"/>
          <w:color w:val="000000"/>
          <w:sz w:val="20"/>
        </w:rPr>
        <w:t>: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of the Company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if the person is subject to the additional procedures set forth in Annex A, such person should otherwise comply with the restrictions and procedures outlined therein under the heading “Pre-Clearance Procedures.”</w:t>
      </w:r>
    </w:p>
    <w:p>
      <w:pPr>
        <w:pStyle w:val="TextBody"/>
        <w:bidi w:val="0"/>
        <w:spacing w:before="200" w:after="283"/>
        <w:ind w:left="72" w:right="72" w:hanging="0"/>
        <w:jc w:val="left"/>
        <w:rPr>
          <w:rFonts w:ascii="Times New Roman" w:hAnsi="Times New Roman"/>
          <w:b/>
          <w:color w:val="000000"/>
          <w:sz w:val="20"/>
        </w:rPr>
      </w:pPr>
      <w:bookmarkStart w:id="53" w:name="rule_10b5_1_plans"/>
      <w:bookmarkEnd w:id="53"/>
      <w:r>
        <w:rPr>
          <w:rFonts w:ascii="Times New Roman" w:hAnsi="Times New Roman"/>
          <w:b/>
          <w:color w:val="000000"/>
          <w:sz w:val="20"/>
        </w:rPr>
        <w:t>RULE 10B5-1 PLANS</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 xml:space="preserve">Rule 10b5-1 under the Exchange Act provides an affirmative defense to insider trading allegations under federal law. In order to be eligible to rely on this defense, a person subject to this Policy must enter into a Rule 10b5-1 plan for transactions in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ind w:left="72" w:right="72" w:hanging="0"/>
        <w:jc w:val="both"/>
        <w:rPr>
          <w:rFonts w:ascii="Times New Roman" w:hAnsi="Times New Roman"/>
          <w:color w:val="000000"/>
          <w:sz w:val="20"/>
        </w:rPr>
      </w:pPr>
      <w:r>
        <w:rPr>
          <w:rFonts w:ascii="Times New Roman" w:hAnsi="Times New Roman"/>
          <w:color w:val="000000"/>
          <w:sz w:val="20"/>
        </w:rPr>
        <w:t>Securities that meets the conditions specified in the Rule (a “Rule 10b5-1 Plan”). If the plan meets the requirements of Rule 10b5-1, Company Securities may be purchased or sold without regard to certain insider trading restrictions described in this Policy.</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To comply with this Policy, the adoption, modification or early termination of a Rule 10b5-1 Plan must be approved by the General Counsel, and all Rule 10b5-1 Plans must meet the requirements of Rule 10b5-1. Any Rule 10b5-1 Plan must be submitted for approval five business days prior to the entry into the Rule 10b5-1 Plan, and any proposed modifications or terminations thereof must be submitted for approval at least three business days prior to the consummation of such actions. The General Counsel may extend the amount of time to review a request for approval beyond five and three business days, respectively, in its sole discretion. The General Counsel is under no obligation to approve a Rule 10b5-1 Plan submitted for pre-clearance. No further pre-approval of transactions conducted pursuant to the Rule 10b5-1 Plan will be required.</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A Rule 10b5-1 Plan may be entered into or modified only (i) at a time when the person entering into, or modifying the plan is not aware of material nonpublic information about the Company or Company Securities and (ii) in the case of Covered Senior Persons, during an “Open Window Period” as defined in Annex A to this Policy. Once a Rule 10b5-1 Plan is adopted, the person must not exercise any influence over the amount of securities to be traded, the price at which they are to be traded or the date of the trade. The Rule 10b5-1 Plan must either specify the amount, pricing and timing of transactions in advance (including by use of a formula) or delegate discretion on these matters to an independent third party in accordance with the requirements of Rule 10b5-1.</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Once a Rule 10b5-1 Plan is pre-cleared and is adopted or modified, it is subject to a “cooling-off” period before execution of the first trade. The “cooling-off” period for directors and officers subject to Section 16 of the Exchange Act ends on the later of: (1) 90 days following the Rule 10b5-1 Plan adoption or modification or (2) two business days following the disclosure in Form 10-Q or Form 10-K of the Company’s financial results for the fiscal quarter in which the Rule 10b5-1 Plan was adopted or modified (however, the cooling-off period will not exceed 120 days following plan adoption or modification). For all other individuals, a 30-day cooling-off period is required.</w:t>
      </w:r>
    </w:p>
    <w:p>
      <w:pPr>
        <w:pStyle w:val="TextBody"/>
        <w:bidi w:val="0"/>
        <w:spacing w:before="200" w:after="283"/>
        <w:ind w:left="72" w:right="72" w:firstLine="720"/>
        <w:jc w:val="both"/>
        <w:rPr>
          <w:rFonts w:ascii="Times New Roman" w:hAnsi="Times New Roman"/>
          <w:color w:val="000000"/>
          <w:sz w:val="20"/>
        </w:rPr>
      </w:pPr>
      <w:r>
        <w:rPr>
          <w:rFonts w:ascii="Times New Roman" w:hAnsi="Times New Roman"/>
          <w:color w:val="000000"/>
          <w:sz w:val="20"/>
        </w:rPr>
        <w:t>A person may not enter into overlapping Rule 10b5-1 Plans (subject to certain exceptions) and may only enter into one single-trade Rule 10b5-1 Plan during any 12-month period (subject to certain exceptions). Directors and officers subject to Section 16 of the Exchange Act must include a representation in their Rule 10b5-1 Plan certifying that: (i) they are not aware of any material nonpublic information; and (ii) they are adopting the Rule 10b5-1 Plan in good faith and not as part of a plan or scheme to evade the prohibitions in Rule 10b-5.</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All persons entering into a Rule 10b5-1 Plan must act in good faith with respect to that plan.</w:t>
      </w:r>
    </w:p>
    <w:p>
      <w:pPr>
        <w:pStyle w:val="TextBody"/>
        <w:bidi w:val="0"/>
        <w:spacing w:before="200" w:after="283"/>
        <w:ind w:left="72" w:right="68" w:hanging="0"/>
        <w:jc w:val="left"/>
        <w:rPr>
          <w:rFonts w:ascii="Times New Roman" w:hAnsi="Times New Roman"/>
          <w:b/>
          <w:color w:val="000000"/>
          <w:sz w:val="20"/>
        </w:rPr>
      </w:pPr>
      <w:bookmarkStart w:id="54" w:name="post_termination_transactions"/>
      <w:bookmarkEnd w:id="54"/>
      <w:r>
        <w:rPr>
          <w:rFonts w:ascii="Times New Roman" w:hAnsi="Times New Roman"/>
          <w:b/>
          <w:color w:val="000000"/>
          <w:sz w:val="20"/>
        </w:rPr>
        <w:t>POST-TERMINATION TRANSACTIONS</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w:t>
      </w:r>
    </w:p>
    <w:p>
      <w:pPr>
        <w:pStyle w:val="TextBody"/>
        <w:bidi w:val="0"/>
        <w:spacing w:before="200" w:after="283"/>
        <w:ind w:left="72" w:right="68" w:hanging="0"/>
        <w:jc w:val="left"/>
        <w:rPr>
          <w:rFonts w:ascii="Times New Roman" w:hAnsi="Times New Roman"/>
          <w:b/>
          <w:color w:val="000000"/>
          <w:sz w:val="20"/>
        </w:rPr>
      </w:pPr>
      <w:bookmarkStart w:id="55" w:name="consequences_of_violations"/>
      <w:bookmarkEnd w:id="55"/>
      <w:r>
        <w:rPr>
          <w:rFonts w:ascii="Times New Roman" w:hAnsi="Times New Roman"/>
          <w:b/>
          <w:color w:val="000000"/>
          <w:sz w:val="20"/>
        </w:rPr>
        <w:t>CONSEQUENCES OF VIOLATIONS</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The purchase or sale of securities while aware of material nonpublic information, or the disclosure of material nonpublic information to others who then trade in possession of such information, is prohibited by federal and state laws. Insider trading violations are pursued vigorously by the SEC, the Department of Justice and state enforcement authorities.</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Punishment for insider trading violations is severe and could include significant fines and imprisonment. While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Regulators have also prosecuted insider trading violations where an employee or insider has traded in the stock of another related company based on material nonpublic information learned in connection with their employment or role as an insider.</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or Department of Justice investigation, can tarnish a person’s reputation and irreparably damage a career.</w:t>
      </w:r>
    </w:p>
    <w:p>
      <w:pPr>
        <w:pStyle w:val="TextBody"/>
        <w:bidi w:val="0"/>
        <w:spacing w:before="200" w:after="283"/>
        <w:ind w:left="72" w:right="72" w:hanging="0"/>
        <w:jc w:val="left"/>
        <w:rPr>
          <w:rFonts w:ascii="Times New Roman" w:hAnsi="Times New Roman"/>
          <w:b/>
          <w:color w:val="000000"/>
          <w:sz w:val="20"/>
        </w:rPr>
      </w:pPr>
      <w:bookmarkStart w:id="56" w:name="company_assistance"/>
      <w:bookmarkEnd w:id="56"/>
      <w:r>
        <w:rPr>
          <w:rFonts w:ascii="Times New Roman" w:hAnsi="Times New Roman"/>
          <w:b/>
          <w:color w:val="000000"/>
          <w:sz w:val="20"/>
        </w:rPr>
        <w:t>COMPANY ASSISTANCE</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Any person who has a question about this Policy or its application to any proposed transaction may obtain additional guidance from the General Counsel.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00" w:after="283"/>
        <w:ind w:left="72" w:right="68" w:hanging="0"/>
        <w:jc w:val="left"/>
        <w:rPr>
          <w:rFonts w:ascii="Times New Roman" w:hAnsi="Times New Roman"/>
          <w:b/>
          <w:color w:val="000000"/>
          <w:sz w:val="20"/>
        </w:rPr>
      </w:pPr>
      <w:r>
        <w:rPr>
          <w:rFonts w:ascii="Times New Roman" w:hAnsi="Times New Roman"/>
          <w:b/>
          <w:color w:val="000000"/>
          <w:sz w:val="20"/>
        </w:rPr>
        <w:t>ANNEX A TO INSIDER TRADING POLICY</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The Board of Directors of Firefly Aerospace Inc. has adopted this Annex A to the Company’s Insider Trading Policy (the “Policy”). This Annex supplements, and is part of, the Policy and applies to Covered Senior Persons (as defined in the paragraph of the Policy captioned “Persons Subject to this Policy”) and other employees of the Company and its subsidiaries who may, from time to time, become aware of material nonpublic information. The Company may also determine that other persons should be subject to this Annex, such as contractors or consultants who may, from time to time, become aware of material nonpublic information. Capitalized terms used herein are defined in the Policy.</w:t>
      </w:r>
    </w:p>
    <w:p>
      <w:pPr>
        <w:pStyle w:val="TextBody"/>
        <w:bidi w:val="0"/>
        <w:spacing w:before="200" w:after="283"/>
        <w:ind w:left="72" w:right="68" w:hanging="0"/>
        <w:jc w:val="left"/>
        <w:rPr>
          <w:rFonts w:ascii="Times New Roman" w:hAnsi="Times New Roman"/>
          <w:b/>
          <w:color w:val="000000"/>
          <w:sz w:val="20"/>
        </w:rPr>
      </w:pPr>
      <w:r>
        <w:rPr>
          <w:rFonts w:ascii="Times New Roman" w:hAnsi="Times New Roman"/>
          <w:b/>
          <w:color w:val="000000"/>
          <w:sz w:val="20"/>
        </w:rPr>
        <w:t>PRE-CLEARANCE PROCEDURES</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Covered Senior Persons (other than the General Counsel) may not engage in any transaction in Company Securities without first obtaining pre-clearance in writing for such transaction from the General Counsel, including transactions that are otherwise exempted from the Policy as described under the heading “Transactions Under Company Plans and Certain Other Transactions.” The General Counsel may not engage in any transaction in Company Securities without first obtaining pre-clearance in writing for such transaction from the Chief Executive Officer.</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A written request for pre-clearance should be submitted to the General Counsel at least two business days in advance of the proposed transaction, which period of review may be extended in the General Counsel’s sole discretion. The General Counsel is under no obligation to approve a transaction submitted for pre-clearance. If a person seeks pre-clearance and permission to engage in the transaction is denied, then he or she should refrain from initiating any transaction in Company Securities and should not inform any other person of the restriction.</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When a request for pre-clearance is made, the requestor should carefully consider whether he or she may be aware of any material nonpublic information about the Company or Company Securities and should describe fully those circumstances in their written request. The requestor should also indicate whether he or she has effected any “opposite-way” transactions within the past six months. Any requestor who is a director or officer subject to Section 16 of the Exchange Act should be prepared to report the proposed transaction on a Form 4 and to comply with SEC Rule 144 and file Form 144, if applicable, at the time of any applicable transaction.</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If a person seeks pre-clearance and permission to engage in the transaction is granted, then such trade must be effected within three trading days of receipt of pre-clearance unless an exception is granted. Such person must notify the General Counsel within one business day of completion of the transaction. A person who has not effected a transaction within the time limit may not engage in such transaction without again obtaining pre-clearance as set forth above.</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With respect to transactions effected after termination of service, these pre-clearance procedures will cease to apply to transactions in Company Securities upon the expiration of the next subsequent Blackout Period (as described below) following the termination of service.</w:t>
      </w:r>
    </w:p>
    <w:p>
      <w:pPr>
        <w:pStyle w:val="TextBody"/>
        <w:bidi w:val="0"/>
        <w:spacing w:before="200" w:after="283"/>
        <w:ind w:left="72" w:right="68" w:hanging="0"/>
        <w:jc w:val="left"/>
        <w:rPr>
          <w:rFonts w:ascii="Times New Roman" w:hAnsi="Times New Roman"/>
          <w:b/>
          <w:color w:val="000000"/>
          <w:sz w:val="20"/>
        </w:rPr>
      </w:pPr>
      <w:r>
        <w:rPr>
          <w:rFonts w:ascii="Times New Roman" w:hAnsi="Times New Roman"/>
          <w:b/>
          <w:color w:val="000000"/>
          <w:sz w:val="20"/>
        </w:rPr>
        <w:t>BLACKOUT PERIODS</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Quarterly Blackout Periods: Covered Senior Persons may not conduct any transactions involving Company Securities (other than as specified by this Policy), during a “Blackout Period” beginning fourteen calendar days prior to the end of each fiscal quarter (that is, March 17, June 16, September 16, and December 17) and ending after the close of trading on the second full trading day following public release of the Company’s earnings results for that quarter. In other words, these persons may only conduct transactions in Company Securities during the “Open Window Period” beginning after the close of trading on the second full trading day following the public release of the Company’s quarterly earnings and ending fourteen days prior to the close of the next fiscal quarter, assuming that they are not in possession of material nonpublic information.</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 xml:space="preserve">Event-Specific Blackout Periods: From time to time, directors, officers, employees, consultants and/or contractors may become aware of material nonpublic information outside of a quarterly Blackout Period. So long as the information remains material and nonpublic, the persons designated by the General Counsel may not trade Company Securities. In addition, the Company’s financial results may be sufficiently material in a particular fiscal quarter that, in the judgment of the General Counsel, designated persons should refrain from trading in Company Securities even sooner than the typical quarterly Blackout Period. In these situations, the General Counsel may notify these persons that they should not trade in Company Securities, without disclosing the reason for the restriction. The existence of an event-specific trading restriction period or extension of a quarterly Blackout Period will not be announced to the Company as a whole and should not be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00" w:after="283"/>
        <w:ind w:left="72" w:right="67" w:hanging="0"/>
        <w:jc w:val="both"/>
        <w:rPr>
          <w:rFonts w:ascii="Times New Roman" w:hAnsi="Times New Roman"/>
          <w:color w:val="000000"/>
          <w:sz w:val="20"/>
        </w:rPr>
      </w:pPr>
      <w:r>
        <w:rPr>
          <w:rFonts w:ascii="Times New Roman" w:hAnsi="Times New Roman"/>
          <w:color w:val="000000"/>
          <w:sz w:val="20"/>
        </w:rPr>
        <w:t>communicated to any other person. Even if the General Counsel has not designated you as a person who should not trade due to an event-specific restriction, you should not trade while aware of material nonpublic information.</w:t>
      </w:r>
    </w:p>
    <w:p>
      <w:pPr>
        <w:pStyle w:val="TextBody"/>
        <w:bidi w:val="0"/>
        <w:spacing w:before="200" w:after="283"/>
        <w:ind w:left="72" w:right="67" w:firstLine="720"/>
        <w:jc w:val="both"/>
        <w:rPr>
          <w:rFonts w:ascii="Times New Roman" w:hAnsi="Times New Roman"/>
          <w:color w:val="000000"/>
          <w:sz w:val="20"/>
        </w:rPr>
      </w:pPr>
      <w:r>
        <w:rPr>
          <w:rFonts w:ascii="Times New Roman" w:hAnsi="Times New Roman"/>
          <w:color w:val="000000"/>
          <w:sz w:val="20"/>
        </w:rPr>
        <w:t>Exceptions: Blackout Periods do not apply to those transactions to which the Policy does not apply, as described in the Policy under the headings “Transactions Under Company Plans and Certain Other Transactions.” Furthermore, pre-clearance requests and Blackout Periods do not apply to transactions conducted pursuant to approved Rule 10b5-1 Plans, as described under the heading of the Policy “Rule 10b5-1 Plans.”</w:t>
      </w:r>
    </w:p>
    <w:p>
      <w:pPr>
        <w:pStyle w:val="TextBody"/>
        <w:bidi w:val="0"/>
        <w:spacing w:before="200" w:after="283"/>
        <w:ind w:left="72" w:right="67" w:firstLine="7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7" w:name="fly-ex23_1.htm"/>
      <w:bookmarkStart w:id="58" w:name="ksflyex23_1"/>
      <w:bookmarkEnd w:id="57"/>
      <w:bookmarkEnd w:id="58"/>
      <w:r>
        <w:rPr>
          <w:rFonts w:ascii="Times New Roman" w:hAnsi="Times New Roman"/>
          <w:b/>
          <w:color w:val="000000"/>
          <w:sz w:val="20"/>
        </w:rPr>
        <w:t>Exhibit 23.1</w:t>
      </w:r>
      <w:r>
        <w:br w:type="page"/>
      </w:r>
    </w:p>
    <w:p>
      <w:pPr>
        <w:pStyle w:val="TextBody"/>
        <w:bidi w:val="0"/>
        <w:spacing w:before="60" w:after="60"/>
        <w:jc w:val="center"/>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spacing w:before="0" w:after="60"/>
        <w:jc w:val="center"/>
        <w:rPr/>
      </w:pPr>
      <w:r>
        <w:rPr/>
        <w:t>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We have issued our report dated March 19, 2026, with respect to the consolidated financial statements included in the Annual Report of Firefly Aerospace Inc. on Form 10-K for the year ended December 31, 2025. We consent to the incorporation by reference of said report in the Registration Statements of Firefly Aerospace Inc. on Form S-1 (File No. 333-291599) and on Form S-8 (File No. 333-290007).</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/s/ GRANT THORNTON LLP</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Austin, Texas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March 19,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9" w:name="fly-ex31_1.htm"/>
      <w:bookmarkStart w:id="60" w:name="ksflyex31_1"/>
      <w:bookmarkEnd w:id="59"/>
      <w:bookmarkEnd w:id="60"/>
      <w:r>
        <w:rPr>
          <w:rFonts w:ascii="Times New Roman" w:hAnsi="Times New Roman"/>
          <w:b/>
          <w:color w:val="000000"/>
          <w:sz w:val="20"/>
        </w:rPr>
        <w:t>Exhibit 31.1</w:t>
      </w:r>
      <w:r>
        <w:br w:type="page"/>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Jason Kim, certify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Annual Report on Form 10-K of Firefly Aerospace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quarter (the Registrant’s fourth fiscal quarter in the case of an annual report) that has materially affected, or is reasonably likely to materially affect,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4964" w:type="dxa"/>
        <w:jc w:val="left"/>
        <w:tblInd w:w="0" w:type="dxa"/>
        <w:tblLayout w:type="fixed"/>
        <w:tblCellMar>
          <w:top w:w="28" w:type="dxa"/>
          <w:left w:w="28" w:type="dxa"/>
          <w:bottom w:w="28" w:type="dxa"/>
          <w:right w:w="28" w:type="dxa"/>
        </w:tblCellMar>
      </w:tblPr>
      <w:tblGrid>
        <w:gridCol w:w="1891"/>
        <w:gridCol w:w="146"/>
        <w:gridCol w:w="406"/>
        <w:gridCol w:w="252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Jason Kim</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1" w:name="fly-ex31_2.htm"/>
      <w:bookmarkStart w:id="62" w:name="ksflyex31_2"/>
      <w:bookmarkEnd w:id="61"/>
      <w:bookmarkEnd w:id="62"/>
      <w:r>
        <w:rPr>
          <w:rFonts w:ascii="Times New Roman" w:hAnsi="Times New Roman"/>
          <w:b/>
          <w:color w:val="000000"/>
          <w:sz w:val="20"/>
        </w:rPr>
        <w:t>Exhibit 31.2</w:t>
      </w:r>
      <w:r>
        <w:br w:type="page"/>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Darren Ma, certify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Annual Report on Form 10-K of Firefly Aerospace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4904" w:type="dxa"/>
        <w:jc w:val="left"/>
        <w:tblInd w:w="0" w:type="dxa"/>
        <w:tblLayout w:type="fixed"/>
        <w:tblCellMar>
          <w:top w:w="28" w:type="dxa"/>
          <w:left w:w="28" w:type="dxa"/>
          <w:bottom w:w="28" w:type="dxa"/>
          <w:right w:w="28" w:type="dxa"/>
        </w:tblCellMar>
      </w:tblPr>
      <w:tblGrid>
        <w:gridCol w:w="1891"/>
        <w:gridCol w:w="146"/>
        <w:gridCol w:w="406"/>
        <w:gridCol w:w="246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Darren Ma</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3" w:name="fly-ex32_1.htm"/>
      <w:bookmarkStart w:id="64" w:name="ksflyex32_1"/>
      <w:bookmarkEnd w:id="63"/>
      <w:bookmarkEnd w:id="64"/>
      <w:r>
        <w:rPr>
          <w:rFonts w:ascii="Times New Roman" w:hAnsi="Times New Roman"/>
          <w:b/>
          <w:color w:val="000000"/>
          <w:sz w:val="20"/>
        </w:rPr>
        <w:t>Exhibit 32.1</w:t>
      </w:r>
      <w:r>
        <w:br w:type="page"/>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on Form 10-K of Firefly Aerospace Inc. (the “Company”) for the year ended December 31, 2025 as filed with the Securities and Exchange Commission on the date hereof (the “Report”), I, Jason Kim, as Chief Executive Officer of the Company, hereby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4964" w:type="dxa"/>
        <w:jc w:val="left"/>
        <w:tblInd w:w="0" w:type="dxa"/>
        <w:tblLayout w:type="fixed"/>
        <w:tblCellMar>
          <w:top w:w="28" w:type="dxa"/>
          <w:left w:w="28" w:type="dxa"/>
          <w:bottom w:w="28" w:type="dxa"/>
          <w:right w:w="28" w:type="dxa"/>
        </w:tblCellMar>
      </w:tblPr>
      <w:tblGrid>
        <w:gridCol w:w="1891"/>
        <w:gridCol w:w="146"/>
        <w:gridCol w:w="406"/>
        <w:gridCol w:w="252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Jason Kim</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5" w:name="fly-ex32_2.htm"/>
      <w:bookmarkStart w:id="66" w:name="ksflyex32_2"/>
      <w:bookmarkEnd w:id="65"/>
      <w:bookmarkEnd w:id="66"/>
      <w:r>
        <w:rPr>
          <w:rFonts w:ascii="Times New Roman" w:hAnsi="Times New Roman"/>
          <w:b/>
          <w:color w:val="000000"/>
          <w:sz w:val="20"/>
        </w:rPr>
        <w:t>Exhibit 32.2</w:t>
      </w:r>
      <w:r>
        <w:br w:type="page"/>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on Form 10-K of Firefly Aerospace Inc. (the “Company”) for the year ended December 31, 2025 as filed with the Securities and Exchange Commission on the date hereof (the “Report”), I, Darren Ma, as Chief Executive Officer of the Company, hereby certify, pursuant to 18 U.S.C. Section 1350, as adopted pursuant to Section 906 of the Sarbanes-Oxley Act of 2002, that, to the best of my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both"/>
        <w:rPr/>
      </w:pPr>
      <w:r>
        <w:rPr/>
        <w:t> </w:t>
      </w:r>
    </w:p>
    <w:tbl>
      <w:tblPr>
        <w:tblW w:w="4904" w:type="dxa"/>
        <w:jc w:val="left"/>
        <w:tblInd w:w="0" w:type="dxa"/>
        <w:tblLayout w:type="fixed"/>
        <w:tblCellMar>
          <w:top w:w="28" w:type="dxa"/>
          <w:left w:w="28" w:type="dxa"/>
          <w:bottom w:w="28" w:type="dxa"/>
          <w:right w:w="28" w:type="dxa"/>
        </w:tblCellMar>
      </w:tblPr>
      <w:tblGrid>
        <w:gridCol w:w="1891"/>
        <w:gridCol w:w="146"/>
        <w:gridCol w:w="406"/>
        <w:gridCol w:w="246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Darren Ma</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7" w:name="fly-ex97_1.htm"/>
      <w:bookmarkStart w:id="68" w:name="ksflyex97_1"/>
      <w:bookmarkEnd w:id="67"/>
      <w:bookmarkEnd w:id="6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Heading2"/>
        <w:bidi w:val="0"/>
        <w:spacing w:before="237" w:after="283"/>
        <w:jc w:val="center"/>
        <w:rPr>
          <w:rFonts w:ascii="Times New Roman" w:hAnsi="Times New Roman"/>
          <w:color w:val="000000"/>
          <w:sz w:val="20"/>
        </w:rPr>
      </w:pPr>
      <w:bookmarkStart w:id="69" w:name="policy_statement"/>
      <w:bookmarkEnd w:id="69"/>
      <w:r>
        <w:rPr>
          <w:rFonts w:ascii="Times New Roman" w:hAnsi="Times New Roman"/>
          <w:color w:val="000000"/>
          <w:sz w:val="20"/>
        </w:rPr>
        <w:t>FIREFLY AEROSPACE INC.</w:t>
      </w:r>
    </w:p>
    <w:p>
      <w:pPr>
        <w:pStyle w:val="Heading2"/>
        <w:bidi w:val="0"/>
        <w:spacing w:before="239" w:after="283"/>
        <w:jc w:val="center"/>
        <w:rPr>
          <w:rFonts w:ascii="Times New Roman" w:hAnsi="Times New Roman"/>
          <w:color w:val="000000"/>
          <w:sz w:val="20"/>
        </w:rPr>
      </w:pPr>
      <w:r>
        <w:rPr>
          <w:rFonts w:ascii="Times New Roman" w:hAnsi="Times New Roman"/>
          <w:color w:val="000000"/>
          <w:sz w:val="20"/>
        </w:rPr>
        <w:t>POLICY FOR THE RECOVERY OF ERRONEOUSLY AWARDED COMPENSATION</w:t>
      </w:r>
    </w:p>
    <w:p>
      <w:pPr>
        <w:pStyle w:val="Heading2"/>
        <w:bidi w:val="0"/>
        <w:spacing w:before="239" w:after="283"/>
        <w:jc w:val="left"/>
        <w:rPr>
          <w:rFonts w:ascii="Times New Roman" w:hAnsi="Times New Roman"/>
          <w:color w:val="000000"/>
          <w:sz w:val="20"/>
        </w:rPr>
      </w:pPr>
      <w:r>
        <w:rPr>
          <w:rFonts w:ascii="Times New Roman" w:hAnsi="Times New Roman"/>
          <w:color w:val="000000"/>
          <w:sz w:val="20"/>
        </w:rPr>
        <w:t>Policy Statement</w:t>
      </w:r>
    </w:p>
    <w:p>
      <w:pPr>
        <w:pStyle w:val="TextBody"/>
        <w:bidi w:val="0"/>
        <w:spacing w:before="54" w:after="283"/>
        <w:jc w:val="both"/>
        <w:rPr>
          <w:rFonts w:ascii="Times New Roman" w:hAnsi="Times New Roman"/>
          <w:color w:val="000000"/>
          <w:sz w:val="20"/>
        </w:rPr>
      </w:pPr>
      <w:r>
        <w:rPr>
          <w:rFonts w:ascii="Times New Roman" w:hAnsi="Times New Roman"/>
          <w:color w:val="000000"/>
          <w:sz w:val="20"/>
        </w:rPr>
        <w:t>Firefly Aerospace Inc. (the “Company”) has adopted this Policy for the Recovery of Erroneously Awarded Compensation (the “Policy”) to provide for the recovery of erroneously awarded incentive-based compensation from executive officers. This Policy is designed to help employees understand the circumstances under which executive officers will be required to repay or return erroneously awarded compensation to the Company.</w:t>
      </w:r>
    </w:p>
    <w:p>
      <w:pPr>
        <w:pStyle w:val="Heading2"/>
        <w:bidi w:val="0"/>
        <w:spacing w:before="126" w:after="283"/>
        <w:jc w:val="left"/>
        <w:rPr>
          <w:rFonts w:ascii="Times New Roman" w:hAnsi="Times New Roman"/>
          <w:color w:val="000000"/>
          <w:sz w:val="20"/>
        </w:rPr>
      </w:pPr>
      <w:bookmarkStart w:id="70" w:name="who_is_affected_by_this_policy"/>
      <w:bookmarkEnd w:id="70"/>
      <w:r>
        <w:rPr>
          <w:rFonts w:ascii="Times New Roman" w:hAnsi="Times New Roman"/>
          <w:color w:val="000000"/>
          <w:sz w:val="20"/>
        </w:rPr>
        <w:t>Who Is Affected by this Policy</w:t>
      </w:r>
    </w:p>
    <w:p>
      <w:pPr>
        <w:pStyle w:val="TextBody"/>
        <w:bidi w:val="0"/>
        <w:spacing w:before="57" w:after="283"/>
        <w:jc w:val="both"/>
        <w:rPr>
          <w:rFonts w:ascii="Times New Roman" w:hAnsi="Times New Roman"/>
          <w:color w:val="000000"/>
          <w:sz w:val="20"/>
        </w:rPr>
      </w:pPr>
      <w:r>
        <w:rPr>
          <w:rFonts w:ascii="Times New Roman" w:hAnsi="Times New Roman"/>
          <w:color w:val="000000"/>
          <w:sz w:val="20"/>
        </w:rPr>
        <w:t>This Policy applies to all current and former executive officers of the Company (as determined by the Compensation Committee (“Compensation Committee”) of the Board of Directors of the Company (the “Board”) in accordance with Section 10D of the Securities Exchange Act of 1934, as amended (the “Exchange Act”), the rules promulgated thereunder and Nasdaq listing standards) and such other senior executives or employees who may from time to time be deemed subject to this Policy by the Compensation Committee (“Covered Executives”). For the purposes of this Policy, the term “executive officers” means the Company’s “officers” under Rule 16a-1(f) of the Exchange Act .</w:t>
      </w:r>
    </w:p>
    <w:p>
      <w:pPr>
        <w:pStyle w:val="Heading2"/>
        <w:bidi w:val="0"/>
        <w:spacing w:before="128" w:after="283"/>
        <w:jc w:val="left"/>
        <w:rPr>
          <w:rFonts w:ascii="Times New Roman" w:hAnsi="Times New Roman"/>
          <w:color w:val="000000"/>
          <w:sz w:val="20"/>
        </w:rPr>
      </w:pPr>
      <w:bookmarkStart w:id="71" w:name="recovery_of_erroneously_awarded_compensa"/>
      <w:bookmarkEnd w:id="71"/>
      <w:r>
        <w:rPr>
          <w:rFonts w:ascii="Times New Roman" w:hAnsi="Times New Roman"/>
          <w:color w:val="000000"/>
          <w:sz w:val="20"/>
        </w:rPr>
        <w:t>Recovery of Erroneously Awarded Compensation</w:t>
      </w:r>
    </w:p>
    <w:p>
      <w:pPr>
        <w:pStyle w:val="TextBody"/>
        <w:bidi w:val="0"/>
        <w:spacing w:before="57" w:after="283"/>
        <w:jc w:val="both"/>
        <w:rPr>
          <w:rFonts w:ascii="Times New Roman" w:hAnsi="Times New Roman"/>
          <w:color w:val="000000"/>
          <w:sz w:val="20"/>
        </w:rPr>
      </w:pPr>
      <w:r>
        <w:rPr>
          <w:rFonts w:ascii="Times New Roman" w:hAnsi="Times New Roman"/>
          <w:color w:val="000000"/>
          <w:sz w:val="20"/>
        </w:rPr>
        <w:t>In the event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will recover reasonably promptly the amount of incentive-based compensation (defined as compensation that is granted, earned or vested based wholly, or in part, upon the attainment of a financial reporting measure received by any Covered Executive during the relevant recovery period (described in Section 3 below) that exceeds the amount of incentive-based compensation that otherwise would have been received had it been determined based on restated amounts computed without regard to any taxes paid (“erroneously awarded compensation”), as calculated pursuant to Section 1 below.</w:t>
      </w:r>
    </w:p>
    <w:p>
      <w:pPr>
        <w:pStyle w:val="TextBody"/>
        <w:bidi w:val="0"/>
        <w:spacing w:before="131" w:after="283"/>
        <w:jc w:val="both"/>
        <w:rPr>
          <w:rFonts w:ascii="Times New Roman" w:hAnsi="Times New Roman"/>
          <w:color w:val="000000"/>
          <w:sz w:val="20"/>
        </w:rPr>
      </w:pPr>
      <w:r>
        <w:rPr>
          <w:rFonts w:ascii="Times New Roman" w:hAnsi="Times New Roman"/>
          <w:color w:val="000000"/>
          <w:sz w:val="20"/>
        </w:rPr>
        <w:t>Incentive-based compensation shall be deemed received in the Company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122" w:after="283"/>
        <w:jc w:val="left"/>
        <w:rPr>
          <w:rFonts w:ascii="Times New Roman" w:hAnsi="Times New Roman"/>
          <w:b/>
          <w:color w:val="000000"/>
          <w:sz w:val="20"/>
        </w:rPr>
      </w:pPr>
      <w:r>
        <w:rPr>
          <w:rFonts w:ascii="Times New Roman" w:hAnsi="Times New Roman"/>
          <w:b/>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2" w:after="283"/>
        <w:jc w:val="left"/>
        <w:rPr>
          <w:rFonts w:ascii="Times New Roman" w:hAnsi="Times New Roman"/>
          <w:b/>
          <w:color w:val="000000"/>
          <w:sz w:val="20"/>
        </w:rPr>
      </w:pPr>
      <w:r>
        <w:rPr>
          <w:rFonts w:ascii="Times New Roman" w:hAnsi="Times New Roman"/>
          <w:b/>
          <w:color w:val="000000"/>
          <w:sz w:val="20"/>
        </w:rPr>
        <w:t>Calculation of Erroneously Awarded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For purposes of this Policy, financial reporting measures are measures that are determined and presented in accordance with generally accepted accounting principles (GAAP) used in preparing the Company’s financial statements, and any measures derived in whole, or in part, from such measures, including, but not limited to, stock price and total shareholder return. For purposes of this Policy, a financial reporting measure need not be presented within the financial statements or included in a filing with the Securities and Exchange Commission (the “SEC”).</w:t>
      </w:r>
    </w:p>
    <w:p>
      <w:pPr>
        <w:pStyle w:val="TextBody"/>
        <w:bidi w:val="0"/>
        <w:spacing w:before="126" w:after="283"/>
        <w:jc w:val="both"/>
        <w:rPr>
          <w:rFonts w:ascii="Times New Roman" w:hAnsi="Times New Roman"/>
          <w:color w:val="000000"/>
          <w:sz w:val="20"/>
        </w:rPr>
      </w:pPr>
      <w:bookmarkStart w:id="72" w:name="x__impracticability_exceptions_to_recove"/>
      <w:bookmarkEnd w:id="72"/>
      <w:r>
        <w:rPr>
          <w:rFonts w:ascii="Times New Roman" w:hAnsi="Times New Roman"/>
          <w:color w:val="000000"/>
          <w:sz w:val="20"/>
        </w:rPr>
        <w:t>For incentive-based compensation based on stock price or total shareholder return, where the amount of erroneously awarded compensation is not subject to mathematical recalculation directly from the information in the accounting restatement: (A) the amount must be based on a reasonable estimate of the effect of the accounting restatement on the stock price or total shareholder return upon which the incentive-based compensation was received; and (B) the Company will maintain documentation of the determination of that reasonable estimate and provide such documentation to Nasdaq as it may require.</w:t>
      </w:r>
    </w:p>
    <w:p>
      <w:pPr>
        <w:pStyle w:val="TextBody"/>
        <w:bidi w:val="0"/>
        <w:spacing w:before="95"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95" w:after="283"/>
        <w:jc w:val="both"/>
        <w:rPr>
          <w:rFonts w:ascii="Times New Roman" w:hAnsi="Times New Roman"/>
          <w:b/>
          <w:color w:val="000000"/>
          <w:sz w:val="20"/>
        </w:rPr>
      </w:pPr>
      <w:r>
        <w:rPr>
          <w:rFonts w:ascii="Times New Roman" w:hAnsi="Times New Roman"/>
          <w:b/>
          <w:color w:val="000000"/>
          <w:sz w:val="20"/>
        </w:rPr>
        <w:t>Impracticability Exceptions to Recovery</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 xml:space="preserve">The Company must recover erroneously awarded compensation in compliance with this Policy except to the extent that conditions (A), (B) or (C) herein are satisfied and the Compensation Committee has determined that recovery would be impracticable: (A) the direct expense paid to a third party to assist in enforcing this Policy would exceed the amount to be recovered (after making a reasonable attempt at recovering such erroneously awarded compensation, documenting such reasonable attempt(s) to recover and providing such documentation to Nasdaq); (B) recovery would violate any U.S. laws adopted prior to November 28, 2022 (after obtaining an opinion of legal counsel, acceptable to Nasdaq, that recovery would result in such a violation and providing such opinion to Nasdaq); or (C) recovery would likely cause an otherwise tax-qualified retirement plan, under which benefits are broadly available to employees of the Company, to fail to meet the requirements of 26 U.S.C. 401(a)(13) or 26 U.S.C. 411(a) and the regulations promulgated thereunder describing certain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9" w:after="283"/>
        <w:jc w:val="both"/>
        <w:rPr>
          <w:rFonts w:ascii="Times New Roman" w:hAnsi="Times New Roman"/>
          <w:color w:val="000000"/>
          <w:sz w:val="20"/>
        </w:rPr>
      </w:pPr>
      <w:bookmarkStart w:id="73" w:name="x__relevant_recovery_period_and_covered_"/>
      <w:bookmarkEnd w:id="73"/>
      <w:r>
        <w:rPr>
          <w:rFonts w:ascii="Times New Roman" w:hAnsi="Times New Roman"/>
          <w:color w:val="000000"/>
          <w:sz w:val="20"/>
        </w:rPr>
        <w:t>Internal Revenue Code of 1986, as amended (the “Code”), plan qualification requirements.</w:t>
      </w:r>
    </w:p>
    <w:p>
      <w:pPr>
        <w:pStyle w:val="TextBody"/>
        <w:bidi w:val="0"/>
        <w:spacing w:before="119"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19" w:after="283"/>
        <w:jc w:val="both"/>
        <w:rPr>
          <w:rFonts w:ascii="Times New Roman" w:hAnsi="Times New Roman"/>
          <w:b/>
          <w:color w:val="000000"/>
          <w:sz w:val="20"/>
        </w:rPr>
      </w:pPr>
      <w:r>
        <w:rPr>
          <w:rFonts w:ascii="Times New Roman" w:hAnsi="Times New Roman"/>
          <w:b/>
          <w:color w:val="000000"/>
          <w:sz w:val="20"/>
        </w:rPr>
        <w:t>Relevant Recovery Period and Covered Executives</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This Policy shall apply to incentive-based compensation received on or after October 2, 2023 by any Covered Executive: (A) after such person began service as an executive officer of the Company; (B) if that person served as an executive officer at any time during the performance period for such incentive-based compensation; (C) while the Company has a class of securities listed on Nasdaq; and (D) during the three completed fiscal years immediately preceding the date that the Company is required to prepare an accounting restatement described herein.</w:t>
      </w:r>
    </w:p>
    <w:p>
      <w:pPr>
        <w:pStyle w:val="TextBody"/>
        <w:bidi w:val="0"/>
        <w:spacing w:before="126" w:after="283"/>
        <w:jc w:val="both"/>
        <w:rPr>
          <w:rFonts w:ascii="Times New Roman" w:hAnsi="Times New Roman"/>
          <w:color w:val="000000"/>
          <w:sz w:val="20"/>
        </w:rPr>
      </w:pPr>
      <w:r>
        <w:rPr>
          <w:rFonts w:ascii="Times New Roman" w:hAnsi="Times New Roman"/>
          <w:color w:val="000000"/>
          <w:sz w:val="20"/>
        </w:rPr>
        <w:t>For purposes of determining the relevant recovery period, the date that the Company is required to prepare an accounting restatement as described in Section 1 hereof is the earlier to occur of: (A) the date the Board, a committee of the Board or the officers of the Company authorized to take such action (if Board action is not required), conclude(s), or reasonably should have concluded, that the Company is required to prepare such accounting restatement; or (B) the date a court, regulator or other legally-authorized body directs the Company to prepare such accounting restatement. In no event shall the Company be required to award any Covered Executive an additional payment if the restated or accurate financial results would have resulted in a higher incentive-based compensation payment.</w:t>
      </w:r>
    </w:p>
    <w:p>
      <w:pPr>
        <w:pStyle w:val="TextBody"/>
        <w:bidi w:val="0"/>
        <w:spacing w:before="126" w:after="283"/>
        <w:jc w:val="both"/>
        <w:rPr>
          <w:rFonts w:ascii="Times New Roman" w:hAnsi="Times New Roman"/>
          <w:color w:val="000000"/>
          <w:sz w:val="20"/>
        </w:rPr>
      </w:pPr>
      <w:r>
        <w:rPr>
          <w:rFonts w:ascii="Times New Roman" w:hAnsi="Times New Roman"/>
          <w:color w:val="000000"/>
          <w:sz w:val="20"/>
        </w:rPr>
        <w:t>Notwithstanding the terms of the incentive-based compensation awarded by the Company, all incentive-based compensation received on or after October 2, 2023 shall be subject to this Policy.</w:t>
      </w:r>
    </w:p>
    <w:p>
      <w:pPr>
        <w:pStyle w:val="TextBody"/>
        <w:bidi w:val="0"/>
        <w:spacing w:before="119" w:after="283"/>
        <w:jc w:val="left"/>
        <w:rPr>
          <w:rFonts w:ascii="Times New Roman" w:hAnsi="Times New Roman"/>
          <w:b/>
          <w:color w:val="000000"/>
          <w:sz w:val="20"/>
        </w:rPr>
      </w:pPr>
      <w:r>
        <w:rPr>
          <w:rFonts w:ascii="Times New Roman" w:hAnsi="Times New Roman"/>
          <w:b/>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19" w:after="283"/>
        <w:jc w:val="left"/>
        <w:rPr>
          <w:rFonts w:ascii="Times New Roman" w:hAnsi="Times New Roman"/>
          <w:b/>
          <w:color w:val="000000"/>
          <w:sz w:val="20"/>
        </w:rPr>
      </w:pPr>
      <w:r>
        <w:rPr>
          <w:rFonts w:ascii="Times New Roman" w:hAnsi="Times New Roman"/>
          <w:b/>
          <w:color w:val="000000"/>
          <w:sz w:val="20"/>
        </w:rPr>
        <w:t>No Indemnification; No Liability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Times New Roman" w:hAnsi="Times New Roman"/>
          <w:color w:val="000000"/>
          <w:sz w:val="20"/>
        </w:rPr>
      </w:pPr>
      <w:bookmarkStart w:id="74" w:name="x__application__enforceability"/>
      <w:bookmarkEnd w:id="74"/>
      <w:r>
        <w:rPr>
          <w:rFonts w:ascii="Times New Roman" w:hAnsi="Times New Roman"/>
          <w:color w:val="000000"/>
          <w:sz w:val="20"/>
        </w:rPr>
        <w:t>Neither the Company nor any affiliate of the Company will indemnify or insure any Covered Executive against the loss of erroneously awarded compensation pursuant to this Policy, including any direct or indirect payment or reimbursement for the cost of third-party insurance purchased by any Covered Executive to fund potential obligations under this Policy. Neither the Company, any affiliate of the Company nor any member of the Committee or the Board shall have any liability to any person as a result of actions taken under this Policy.</w:t>
      </w:r>
    </w:p>
    <w:p>
      <w:pPr>
        <w:pStyle w:val="TextBody"/>
        <w:bidi w:val="0"/>
        <w:spacing w:before="127"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7" w:after="283"/>
        <w:jc w:val="both"/>
        <w:rPr>
          <w:rFonts w:ascii="Times New Roman" w:hAnsi="Times New Roman"/>
          <w:b/>
          <w:color w:val="000000"/>
          <w:sz w:val="20"/>
        </w:rPr>
      </w:pPr>
      <w:r>
        <w:rPr>
          <w:rFonts w:ascii="Times New Roman" w:hAnsi="Times New Roman"/>
          <w:b/>
          <w:color w:val="000000"/>
          <w:sz w:val="20"/>
        </w:rPr>
        <w:t>Application; Enforceability</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This Policy is in no way intended to limit any other action that the Company or any affiliate of the Company could or might decide to take against an executive officer. This Policy is intended to apply in addition to any other clawback, recoupment, forfeiture or similar policies or provisions of the Company or its affiliates in effect from time to time, including, but not limited to, any Company policies or any provisions contained in any employment agreement, bonus plan, incentive plan, equity-based plan or award agreement thereunder or similar plan, program, agreement of the Company or an affiliate, or required under applicable law (together, as amended, modified or supplemented from time to time, the “Other Recovery Arrangements”).</w:t>
      </w:r>
    </w:p>
    <w:p>
      <w:pPr>
        <w:pStyle w:val="TextBody"/>
        <w:bidi w:val="0"/>
        <w:spacing w:before="127" w:after="283"/>
        <w:jc w:val="both"/>
        <w:rPr>
          <w:rFonts w:ascii="Times New Roman" w:hAnsi="Times New Roman"/>
          <w:b/>
          <w:color w:val="000000"/>
          <w:sz w:val="20"/>
        </w:rPr>
      </w:pPr>
      <w:r>
        <w:rPr>
          <w:rFonts w:ascii="Times New Roman" w:hAnsi="Times New Roman"/>
          <w:b/>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7" w:after="283"/>
        <w:jc w:val="both"/>
        <w:rPr>
          <w:rFonts w:ascii="Times New Roman" w:hAnsi="Times New Roman"/>
          <w:b/>
          <w:color w:val="000000"/>
          <w:sz w:val="20"/>
        </w:rPr>
      </w:pPr>
      <w:r>
        <w:rPr>
          <w:rFonts w:ascii="Times New Roman" w:hAnsi="Times New Roman"/>
          <w:b/>
          <w:color w:val="000000"/>
          <w:sz w:val="20"/>
        </w:rPr>
        <w:t>Limitations on Duplicate Recovery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Unless otherwise prohibited by Section 10D of the Exchange Act, Rule 10D-1 promulgated thereunder, the Nasdaq listing rules and any applicable rules, standards or other guidance adopted by the SEC or Nasdaq (collectively, “Applicable Rules”), to the extent this Policy provides for recovery of erroneously awarded compensation already recovered by the Company pursuant to Section 304 of the Sarbanes-Oxley Act of 2002, as amended (the “Sarbanes-Oxley Act”), or any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127" w:after="283"/>
        <w:jc w:val="both"/>
        <w:rPr>
          <w:rFonts w:ascii="Times New Roman" w:hAnsi="Times New Roman"/>
          <w:b/>
          <w:color w:val="000000"/>
          <w:sz w:val="20"/>
        </w:rPr>
      </w:pPr>
      <w:r>
        <w:rPr>
          <w:rFonts w:ascii="Times New Roman" w:hAnsi="Times New Roman"/>
          <w:b/>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7" w:after="283"/>
        <w:jc w:val="both"/>
        <w:rPr>
          <w:rFonts w:ascii="Times New Roman" w:hAnsi="Times New Roman"/>
          <w:b/>
          <w:color w:val="000000"/>
          <w:sz w:val="20"/>
        </w:rPr>
      </w:pPr>
      <w:r>
        <w:rPr>
          <w:rFonts w:ascii="Times New Roman" w:hAnsi="Times New Roman"/>
          <w:b/>
          <w:color w:val="000000"/>
          <w:sz w:val="20"/>
        </w:rPr>
        <w:t>Reporting and Disclosure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shall make all disclosures with respect to this Policy in accordance with the requirements of the federal securities laws, including disclosures required under Item 402(w) of Regulation S-K of the Securities Act of 1933, as amended (the “Securities Act”), regarding the Company’s actions to recover erroneously awarded compensation and the filing of this Policy as an exhibit to the Company’s annual report on Form 10-K.</w:t>
      </w:r>
    </w:p>
    <w:p>
      <w:pPr>
        <w:pStyle w:val="Heading2"/>
        <w:bidi w:val="0"/>
        <w:spacing w:before="126" w:after="283"/>
        <w:jc w:val="left"/>
        <w:rPr>
          <w:rFonts w:ascii="Times New Roman" w:hAnsi="Times New Roman"/>
          <w:color w:val="000000"/>
          <w:sz w:val="20"/>
        </w:rPr>
      </w:pPr>
      <w:bookmarkStart w:id="75" w:name="administration"/>
      <w:bookmarkEnd w:id="75"/>
      <w:r>
        <w:rPr>
          <w:rFonts w:ascii="Times New Roman" w:hAnsi="Times New Roman"/>
          <w:color w:val="000000"/>
          <w:sz w:val="20"/>
        </w:rPr>
        <w:t>Administration</w:t>
      </w:r>
    </w:p>
    <w:p>
      <w:pPr>
        <w:pStyle w:val="TextBody"/>
        <w:bidi w:val="0"/>
        <w:spacing w:before="57" w:after="283"/>
        <w:jc w:val="both"/>
        <w:rPr>
          <w:rFonts w:ascii="Times New Roman" w:hAnsi="Times New Roman"/>
          <w:color w:val="000000"/>
          <w:sz w:val="20"/>
        </w:rPr>
      </w:pPr>
      <w:r>
        <w:rPr>
          <w:rFonts w:ascii="Times New Roman" w:hAnsi="Times New Roman"/>
          <w:color w:val="000000"/>
          <w:sz w:val="20"/>
        </w:rPr>
        <w:t>This Policy shall be administered by the Compensation Committee. The Compensation Committee will, subject to the provisions of this Policy and the Applicable Rules, make such determinations and interpretations and take such actions in connection with this Policy as it deems necessary, appropriate or advisable. Subject to any permitted review by Nasdaq pursuant to the Applicable Rules, all determinations and interpretations made by the Compensation Committee will be final, binding and conclusive and need not be uniform with respect to each Covered Executive.</w:t>
      </w:r>
    </w:p>
    <w:p>
      <w:pPr>
        <w:pStyle w:val="TextBody"/>
        <w:bidi w:val="0"/>
        <w:spacing w:before="126" w:after="283"/>
        <w:jc w:val="both"/>
        <w:rPr>
          <w:rFonts w:ascii="Times New Roman" w:hAnsi="Times New Roman"/>
          <w:color w:val="000000"/>
          <w:sz w:val="20"/>
        </w:rPr>
      </w:pPr>
      <w:r>
        <w:rPr>
          <w:rFonts w:ascii="Times New Roman" w:hAnsi="Times New Roman"/>
          <w:color w:val="000000"/>
          <w:sz w:val="20"/>
        </w:rPr>
        <w:t xml:space="preserve">The Compensation Committee may delegate duties with respect to this Policy to one or more directors or authorized employees of the Company, as permitted under applicable law. The Compensation Committee shall, in its sole discretion,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6" w:after="283"/>
        <w:jc w:val="both"/>
        <w:rPr>
          <w:rFonts w:ascii="Times New Roman" w:hAnsi="Times New Roman"/>
          <w:color w:val="000000"/>
          <w:sz w:val="20"/>
        </w:rPr>
      </w:pPr>
      <w:r>
        <w:rPr>
          <w:rFonts w:ascii="Times New Roman" w:hAnsi="Times New Roman"/>
          <w:color w:val="000000"/>
          <w:sz w:val="20"/>
        </w:rPr>
        <w:t>determine the manner of recovery of any erroneously awarded compensation. The Compensation Committee may amend, modify or terminate this Policy in whole, or in part, at any time and from time to time in its sole discretion. 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This Policy shall be binding and enforceable against all Covered Executives and their beneficiaries, heirs, executors, administrators or other legal representatives.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0160/000119312525230927/d46239dex21.htm" TargetMode="External"/><Relationship Id="rId3" Type="http://schemas.openxmlformats.org/officeDocument/2006/relationships/hyperlink" Target="https://www.sec.gov/Archives/edgar/data/1860160/000119312525177023/d58174dex31.htm" TargetMode="External"/><Relationship Id="rId4" Type="http://schemas.openxmlformats.org/officeDocument/2006/relationships/hyperlink" Target="https://www.sec.gov/Archives/edgar/data/1860160/000119312525177023/d58174dex32.htm" TargetMode="External"/><Relationship Id="rId5" Type="http://schemas.openxmlformats.org/officeDocument/2006/relationships/hyperlink" Target="https://www.sec.gov/Archives/edgar/data/1860160/000119312525177023/d58174dex102.htm" TargetMode="External"/><Relationship Id="rId6" Type="http://schemas.openxmlformats.org/officeDocument/2006/relationships/hyperlink" Target="https://www.sec.gov/Archives/edgar/data/1860160/000119312525165856/d849748dex101.htm" TargetMode="External"/><Relationship Id="rId7" Type="http://schemas.openxmlformats.org/officeDocument/2006/relationships/hyperlink" Target="https://www.sec.gov/Archives/edgar/data/1860160/000119312525158225/d849748dex104.htm" TargetMode="External"/><Relationship Id="rId8" Type="http://schemas.openxmlformats.org/officeDocument/2006/relationships/hyperlink" Target="https://www.sec.gov/Archives/edgar/data/1860160/000119312525158225/d849748dex107.htm" TargetMode="External"/><Relationship Id="rId9" Type="http://schemas.openxmlformats.org/officeDocument/2006/relationships/hyperlink" Target="https://www.sec.gov/Archives/edgar/data/1860160/000119312525315982/d847789dex101.htm" TargetMode="External"/><Relationship Id="rId10" Type="http://schemas.openxmlformats.org/officeDocument/2006/relationships/hyperlink" Target="https://www.sec.gov/Archives/edgar/data/1860160/000119312525158225/d849748dex109.htm" TargetMode="External"/><Relationship Id="rId11" Type="http://schemas.openxmlformats.org/officeDocument/2006/relationships/hyperlink" Target="https://www.sec.gov/Archives/edgar/data/1860160/000119312525158225/d849748dex1010.htm" TargetMode="External"/><Relationship Id="rId12" Type="http://schemas.openxmlformats.org/officeDocument/2006/relationships/hyperlink" Target="https://www.sec.gov/Archives/edgar/data/1860160/000119312525158225/d849748dex1011.htm" TargetMode="External"/><Relationship Id="rId13" Type="http://schemas.openxmlformats.org/officeDocument/2006/relationships/hyperlink" Target="https://www.sec.gov/Archives/edgar/data/1860160/000119312525177023/d58174dex106.htm" TargetMode="External"/><Relationship Id="rId14" Type="http://schemas.openxmlformats.org/officeDocument/2006/relationships/hyperlink" Target="https://www.sec.gov/Archives/edgar/data/1860160/000119312525177023/d58174dex107.htm" TargetMode="External"/><Relationship Id="rId15" Type="http://schemas.openxmlformats.org/officeDocument/2006/relationships/hyperlink" Target="https://www.sec.gov/Archives/edgar/data/1860160/000119312525165856/d849748dex1014.htm" TargetMode="External"/><Relationship Id="rId16" Type="http://schemas.openxmlformats.org/officeDocument/2006/relationships/hyperlink" Target="https://www.sec.gov/Archives/edgar/data/1860160/000119312525165856/d849748dex1015.htm" TargetMode="External"/><Relationship Id="rId17" Type="http://schemas.openxmlformats.org/officeDocument/2006/relationships/hyperlink" Target="https://www.sec.gov/Archives/edgar/data/1860160/000119312525315982/d847789dex102.htm" TargetMode="External"/><Relationship Id="rId18" Type="http://schemas.openxmlformats.org/officeDocument/2006/relationships/hyperlink" Target="https://www.sec.gov/Archives/edgar/data/1860160/000119312526088567/d946352dex101.htm" TargetMode="External"/><Relationship Id="rId19" Type="http://schemas.openxmlformats.org/officeDocument/2006/relationships/hyperlink" Target="https://www.sec.gov/Archives/edgar/data/1860160/000119312525177023/d58174dex103.htm" TargetMode="External"/><Relationship Id="rId20" Type="http://schemas.openxmlformats.org/officeDocument/2006/relationships/hyperlink" Target="https://www.sec.gov/Archives/edgar/data/1860160/000119312525177023/d58174dex104.htm" TargetMode="External"/><Relationship Id="rId21" Type="http://schemas.openxmlformats.org/officeDocument/2006/relationships/hyperlink" Target="https://www.sec.gov/Archives/edgar/data/1860160/000119312525177023/d58174dex101.htm" TargetMode="External"/><Relationship Id="rId22" Type="http://schemas.openxmlformats.org/officeDocument/2006/relationships/hyperlink" Target="https://www.sec.gov/Archives/edgar/data/1860160/000119312525274198/d31146dex101.htm" TargetMode="External"/><Relationship Id="rId23" Type="http://schemas.openxmlformats.org/officeDocument/2006/relationships/hyperlink" Target="https://www.sec.gov/Archives/edgar/data/1860160/000119312525284786/d191739dex21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120108</Words>
  <Characters>665445</Characters>
  <CharactersWithSpaces>786051</CharactersWithSpaces>
  <Paragraphs>11904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