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fly-20260331.htm"/>
        <w:bookmarkStart w:id="1" w:name="ksfly20260331"/>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smallCaps/>
          <w:color w:val="000000"/>
          <w:sz w:val="24"/>
        </w:rPr>
        <w:t>W</w:t>
      </w:r>
      <w:r>
        <w:rPr>
          <w:rFonts w:ascii="Times New Roman" w:hAnsi="Times New Roman"/>
          <w:b/>
          <w:color w:val="000000"/>
          <w:sz w:val="24"/>
        </w:rPr>
        <w:t>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001-42789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742" w:type="dxa"/>
        <w:jc w:val="left"/>
        <w:tblInd w:w="0" w:type="dxa"/>
        <w:tblLayout w:type="fixed"/>
        <w:tblCellMar>
          <w:top w:w="28" w:type="dxa"/>
          <w:left w:w="28" w:type="dxa"/>
          <w:bottom w:w="28" w:type="dxa"/>
          <w:right w:w="28" w:type="dxa"/>
        </w:tblCellMar>
      </w:tblPr>
      <w:tblGrid>
        <w:gridCol w:w="292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81-5194980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2203 Scottsdale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Leander, TX</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78641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893-5570</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bidi w:val="0"/>
        <w:spacing w:before="12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45" w:type="dxa"/>
        <w:jc w:val="left"/>
        <w:tblInd w:w="0" w:type="dxa"/>
        <w:tblLayout w:type="fixed"/>
        <w:tblCellMar>
          <w:top w:w="28" w:type="dxa"/>
          <w:left w:w="28" w:type="dxa"/>
          <w:bottom w:w="28" w:type="dxa"/>
          <w:right w:w="28" w:type="dxa"/>
        </w:tblCellMar>
      </w:tblPr>
      <w:tblGrid>
        <w:gridCol w:w="2941"/>
        <w:gridCol w:w="146"/>
        <w:gridCol w:w="946"/>
        <w:gridCol w:w="146"/>
        <w:gridCol w:w="466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6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(Nasdaq Global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As of April 30, 2026, the registrant had 160,235,217</w:t>
      </w:r>
      <w:r>
        <w:rPr>
          <w:rFonts w:ascii="Times New Roman" w:hAnsi="Times New Roman"/>
          <w:color w:val="000000"/>
          <w:sz w:val="20"/>
        </w:rPr>
        <w:t xml:space="preserve"> </w:t>
      </w:r>
      <w:r>
        <w:rPr>
          <w:rFonts w:ascii="Times New Roman" w:hAnsi="Times New Roman"/>
          <w:color w:val="000000"/>
          <w:sz w:val="18"/>
        </w:rPr>
        <w:t>shares of common stock, $0.0001 par value,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0"/>
        <w:gridCol w:w="8608"/>
        <w:gridCol w:w="737"/>
      </w:tblGrid>
      <w:tr>
        <w:trPr/>
        <w:tc>
          <w:tcPr>
            <w:tcW w:w="860" w:type="dxa"/>
            <w:tcBorders/>
            <w:vAlign w:val="center"/>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net_loss_and_comprehensiv">
              <w:r>
                <w:rPr>
                  <w:rStyle w:val="InternetLink"/>
                  <w:rFonts w:ascii="Times New Roman" w:hAnsi="Times New Roman"/>
                  <w:color w:val="0000FF"/>
                  <w:sz w:val="20"/>
                  <w:u w:val="single"/>
                </w:rPr>
                <w:t>Condensed Consolidated Statements of Net Loss and Comprehensive Loss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nvertible_preferred">
              <w:r>
                <w:rPr>
                  <w:rStyle w:val="InternetLink"/>
                  <w:rFonts w:ascii="Times New Roman" w:hAnsi="Times New Roman"/>
                  <w:color w:val="0000FF"/>
                  <w:sz w:val="20"/>
                  <w:u w:val="single"/>
                </w:rPr>
                <w:t>Condensed Consolidated Statements of Convertible Preferred Stock and Stockholders’ Equity (Deficit)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mda">
              <w:r>
                <w:rPr>
                  <w:rStyle w:val="InternetLink"/>
                  <w:rFonts w:ascii="Times New Roman" w:hAnsi="Times New Roman"/>
                  <w:color w:val="0000FF"/>
                  <w:sz w:val="20"/>
                  <w:u w:val="single"/>
                </w:rPr>
                <w:t>Management’s Discussion and Analysis of Financial Condition and Results of Operations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
              <w:r>
                <w:rPr>
                  <w:rStyle w:val="InternetLink"/>
                  <w:rFonts w:ascii="Times New Roman" w:hAnsi="Times New Roman"/>
                  <w:color w:val="0000FF"/>
                  <w:sz w:val="20"/>
                  <w:u w:val="single"/>
                </w:rPr>
                <w:t>Unregistered Sales of Equity Securities and Use of Proceeds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_regarding_forward_look"/>
      <w:bookmarkStart w:id="4" w:name="part_i_financial_information"/>
      <w:bookmarkEnd w:id="3"/>
      <w:bookmarkEnd w:id="4"/>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of Firefly Aerospace Inc. (the “Company,” “Firefly,” “we,” “us” or “our”) contains forward-looking statements. Statements included in this Quarterly Report on Form 10-Q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including growth of our various markets, statements about potential new products and product innovation, statements regarding the expected benefits of the acquisition of SciTec, Inc. (“SciTec”), and other statements regarding our future expectations, beliefs, plans, strategies, objectives, prospects, assumptions, or future events or performance contained in this Quarterly Report on Form 10-Q are forward-looking statements. Some of the factors that could cause actual results to differ materially from those expressed or implied by the forward-looking statements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manage our growth effectively and our ability to achieve and maintain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for delayed or failed launches, and any failure of our launch vehicles and spacecraft to operate as intended;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manufacture our launch vehicles, landers, or orbital vehicles at a quantity and quality that our customers demand;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hazards and operational risks that our products and service offerings are exposed to, including the wide and unique range of risks due to the unpredictability of space;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market for commercial launch services for small- and medium-sized payloads not achieving the growth potential we expect;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impacts from future disruptions in U.S. government operations, including as a result of delays or reduction in appropriations or regulatory approvals from our programs, or changes in U.S. government funding and budgetary priorities and spending levels;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dependence on contracts entered into in the ordinary course of business and our dependence on major customers and vendors;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successful in developing new technology;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uncertain global macroeconomic and political conditions, including the implementation of tariffs and the Iran conflict;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our information technology systems, physical or electronic security protections;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operate Alpha at our anticipated launch rate (including due to potential regulatory delays) or finalize the development and delivery of Eclipse;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scarcity or unavailability of critical components or raw materials used to manufacture our products or used in our development programs;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fluctuation of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publicity stemming from any incident involving us, our competitors, or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to adequately protect our proprietary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shortfalls in available external research and development funding;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comply with our contractual obligations;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establish and maintain important relationships with government agencies and prime contractors;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relating to the laws, security requirements, regulations and policies applicable to government contracting;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realize our backlog;</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dependence on our facilities;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evolving government laws and regulations;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potential benefits and synergies in connection with the SciTec acquisition;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implement and maintain effective internal control over financial reporting;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generate sufficient cash to service our indebtedness;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factors detailed under the section of our Annual Report on Form 10-K entitled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hereof. We undertake no obligation to update any forward-looking statements after the date of this Quarterly Report on Form 10-Q or to conform such statements to actual results or revised expectations, except as required by law. We may not actually achieve the plans, intentions or expectations disclosed in our forward-looking statements, and you should not rely on our forward-looking statements in making your investment decision.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terms the “Company,” “Firefly,” “we,” “our,” “us” and similar terms used herein refer collectively to Firefly Aerospace Inc., a Delaware corporation, and its consolidated subsidiaries, unless otherwise stated.</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left"/>
        <w:rPr>
          <w:rFonts w:ascii="Times New Roman" w:hAnsi="Times New Roman"/>
          <w:b/>
          <w:color w:val="000000"/>
          <w:sz w:val="20"/>
        </w:rPr>
      </w:pPr>
      <w:bookmarkStart w:id="6" w:name="item_1_financial_statements"/>
      <w:bookmarkEnd w:id="6"/>
      <w:r>
        <w:rPr>
          <w:rFonts w:ascii="Times New Roman" w:hAnsi="Times New Roman"/>
          <w:b/>
          <w:color w:val="000000"/>
          <w:sz w:val="20"/>
        </w:rPr>
        <w:t>Item 1. Financial Statements</w:t>
      </w:r>
    </w:p>
    <w:tbl>
      <w:tblPr>
        <w:tblW w:w="10205" w:type="dxa"/>
        <w:jc w:val="left"/>
        <w:tblInd w:w="0" w:type="dxa"/>
        <w:tblLayout w:type="fixed"/>
        <w:tblCellMar>
          <w:top w:w="28" w:type="dxa"/>
          <w:left w:w="28" w:type="dxa"/>
          <w:bottom w:w="28" w:type="dxa"/>
          <w:right w:w="28" w:type="dxa"/>
        </w:tblCellMar>
      </w:tblPr>
      <w:tblGrid>
        <w:gridCol w:w="6987"/>
        <w:gridCol w:w="146"/>
        <w:gridCol w:w="196"/>
        <w:gridCol w:w="886"/>
        <w:gridCol w:w="166"/>
        <w:gridCol w:w="146"/>
        <w:gridCol w:w="196"/>
        <w:gridCol w:w="889"/>
        <w:gridCol w:w="593"/>
      </w:tblGrid>
      <w:tr>
        <w:trPr/>
        <w:tc>
          <w:tcPr>
            <w:tcW w:w="6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792,966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46,129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payments,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673,547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963,175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payments,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60,496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163,738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165,709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450,119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1,491,990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1,824,934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expenses –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116,135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213,581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92,565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281,441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634,995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(See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1,000,000</w:t>
            </w:r>
            <w:r>
              <w:rPr>
                <w:rFonts w:ascii="Times New Roman" w:hAnsi="Times New Roman"/>
                <w:color w:val="000000"/>
                <w:sz w:val="20"/>
              </w:rPr>
              <w:t> </w:t>
            </w:r>
            <w:r>
              <w:rPr>
                <w:rFonts w:ascii="Times New Roman" w:hAnsi="Times New Roman"/>
                <w:color w:val="000000"/>
                <w:sz w:val="16"/>
              </w:rPr>
              <w:t>and 1,000,000</w:t>
            </w:r>
            <w:r>
              <w:rPr>
                <w:rFonts w:ascii="Times New Roman" w:hAnsi="Times New Roman"/>
                <w:color w:val="000000"/>
                <w:sz w:val="20"/>
              </w:rPr>
              <w:t> </w:t>
            </w:r>
            <w:r>
              <w:rPr>
                <w:rFonts w:ascii="Times New Roman" w:hAnsi="Times New Roman"/>
                <w:color w:val="000000"/>
                <w:sz w:val="16"/>
              </w:rPr>
              <w:t>shares authorized as of March 31, 2026 and December 31, 2025, respectively; 160,067</w:t>
            </w:r>
            <w:r>
              <w:rPr>
                <w:rFonts w:ascii="Times New Roman" w:hAnsi="Times New Roman"/>
                <w:color w:val="000000"/>
                <w:sz w:val="20"/>
              </w:rPr>
              <w:t> </w:t>
            </w:r>
            <w:r>
              <w:rPr>
                <w:rFonts w:ascii="Times New Roman" w:hAnsi="Times New Roman"/>
                <w:color w:val="000000"/>
                <w:sz w:val="16"/>
              </w:rPr>
              <w:t>and 159,276</w:t>
            </w:r>
            <w:r>
              <w:rPr>
                <w:rFonts w:ascii="Times New Roman" w:hAnsi="Times New Roman"/>
                <w:color w:val="000000"/>
                <w:sz w:val="20"/>
              </w:rPr>
              <w:t> </w:t>
            </w:r>
            <w:r>
              <w:rPr>
                <w:rFonts w:ascii="Times New Roman" w:hAnsi="Times New Roman"/>
                <w:color w:val="000000"/>
                <w:sz w:val="16"/>
              </w:rPr>
              <w:t>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2,210,201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(1,020,279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1,104,884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1,189,939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1,491,990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1,824,934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7" w:name="statements_of_net_loss_and_comprehensiv"/>
      <w:bookmarkEnd w:id="7"/>
      <w:r>
        <w:rPr>
          <w:rFonts w:ascii="Times New Roman" w:hAnsi="Times New Roman"/>
          <w:b/>
          <w:color w:val="000000"/>
          <w:sz w:val="20"/>
        </w:rPr>
        <w:t>Condensed Consolidated Statements of Net Loss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tbl>
      <w:tblPr>
        <w:tblW w:w="9186" w:type="dxa"/>
        <w:jc w:val="left"/>
        <w:tblInd w:w="0" w:type="dxa"/>
        <w:tblLayout w:type="fixed"/>
        <w:tblCellMar>
          <w:top w:w="28" w:type="dxa"/>
          <w:left w:w="28" w:type="dxa"/>
          <w:bottom w:w="28" w:type="dxa"/>
          <w:right w:w="28" w:type="dxa"/>
        </w:tblCellMar>
      </w:tblPr>
      <w:tblGrid>
        <w:gridCol w:w="5001"/>
        <w:gridCol w:w="146"/>
        <w:gridCol w:w="323"/>
        <w:gridCol w:w="1197"/>
        <w:gridCol w:w="254"/>
        <w:gridCol w:w="223"/>
        <w:gridCol w:w="323"/>
        <w:gridCol w:w="1128"/>
        <w:gridCol w:w="59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80,879</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63,418</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67,509</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45,620</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113,129</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(95,668</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(96,609</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(96,676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(96,676</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159,639</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tbl>
      <w:tblPr>
        <w:tblW w:w="9890" w:type="dxa"/>
        <w:jc w:val="left"/>
        <w:tblInd w:w="0" w:type="dxa"/>
        <w:tblLayout w:type="fixed"/>
        <w:tblCellMar>
          <w:top w:w="28" w:type="dxa"/>
          <w:left w:w="28" w:type="dxa"/>
          <w:bottom w:w="28" w:type="dxa"/>
          <w:right w:w="28" w:type="dxa"/>
        </w:tblCellMar>
      </w:tblPr>
      <w:tblGrid>
        <w:gridCol w:w="5651"/>
        <w:gridCol w:w="246"/>
        <w:gridCol w:w="272"/>
        <w:gridCol w:w="1044"/>
        <w:gridCol w:w="230"/>
        <w:gridCol w:w="203"/>
        <w:gridCol w:w="272"/>
        <w:gridCol w:w="961"/>
        <w:gridCol w:w="1011"/>
      </w:tblGrid>
      <w:tr>
        <w:trPr/>
        <w:tc>
          <w:tcPr>
            <w:tcW w:w="56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(96,676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 in fair value of warrant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Advanced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41,660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 and accrued expenses - related parties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(9,936</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(62,545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(56,537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and equipment and internal-use software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time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(141,337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(2,654</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Preferred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Principal payments on finance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notes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notes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repayment of employee note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 of Revolving Credit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exercise of stock options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for taxes related to net share settlement of equity awards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(1,363</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(262,905</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113,907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(decrease) increase in cash and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(466,787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54,716</w:t>
            </w:r>
          </w:p>
        </w:tc>
        <w:tc>
          <w:tcPr>
            <w:tcW w:w="10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and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Balance, 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792,966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137,558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326,179</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192,274</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326,179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176,879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non-current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 cash and cash equivalents and restricted cash at the end of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326,179</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192,274</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597" w:type="dxa"/>
        <w:jc w:val="left"/>
        <w:tblInd w:w="0" w:type="dxa"/>
        <w:tblLayout w:type="fixed"/>
        <w:tblCellMar>
          <w:top w:w="28" w:type="dxa"/>
          <w:left w:w="28" w:type="dxa"/>
          <w:bottom w:w="28" w:type="dxa"/>
          <w:right w:w="28" w:type="dxa"/>
        </w:tblCellMar>
      </w:tblPr>
      <w:tblGrid>
        <w:gridCol w:w="4976"/>
        <w:gridCol w:w="246"/>
        <w:gridCol w:w="343"/>
        <w:gridCol w:w="894"/>
        <w:gridCol w:w="255"/>
        <w:gridCol w:w="255"/>
        <w:gridCol w:w="343"/>
        <w:gridCol w:w="894"/>
        <w:gridCol w:w="391"/>
      </w:tblGrid>
      <w:tr>
        <w:trPr/>
        <w:tc>
          <w:tcPr>
            <w:tcW w:w="49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4,177</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additions in 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Capitalized interest (paid-in-kind)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internal-use software licenses and obligations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5,066</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finance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working capital adjustment from business combinations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3,321</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9" w:name="statements_of_convertible_preferred"/>
      <w:bookmarkEnd w:id="9"/>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23"/>
        <w:gridCol w:w="146"/>
        <w:gridCol w:w="169"/>
        <w:gridCol w:w="382"/>
        <w:gridCol w:w="161"/>
        <w:gridCol w:w="161"/>
        <w:gridCol w:w="213"/>
        <w:gridCol w:w="387"/>
        <w:gridCol w:w="146"/>
        <w:gridCol w:w="146"/>
        <w:gridCol w:w="146"/>
        <w:gridCol w:w="146"/>
        <w:gridCol w:w="586"/>
        <w:gridCol w:w="146"/>
        <w:gridCol w:w="146"/>
        <w:gridCol w:w="196"/>
        <w:gridCol w:w="375"/>
        <w:gridCol w:w="146"/>
        <w:gridCol w:w="146"/>
        <w:gridCol w:w="181"/>
        <w:gridCol w:w="691"/>
        <w:gridCol w:w="151"/>
        <w:gridCol w:w="146"/>
        <w:gridCol w:w="146"/>
        <w:gridCol w:w="181"/>
        <w:gridCol w:w="736"/>
        <w:gridCol w:w="151"/>
        <w:gridCol w:w="146"/>
        <w:gridCol w:w="188"/>
        <w:gridCol w:w="723"/>
        <w:gridCol w:w="198"/>
      </w:tblGrid>
      <w:tr>
        <w:trPr/>
        <w:tc>
          <w:tcPr>
            <w:tcW w:w="2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159,276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2,210,201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(1,020,279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1,189,939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12,512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(96,676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38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6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160,067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2,221,822</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(1,116,955</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2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1,104,884</w:t>
            </w:r>
          </w:p>
        </w:tc>
        <w:tc>
          <w:tcPr>
            <w:tcW w:w="19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646"/>
        <w:gridCol w:w="146"/>
        <w:gridCol w:w="146"/>
        <w:gridCol w:w="511"/>
        <w:gridCol w:w="146"/>
        <w:gridCol w:w="146"/>
        <w:gridCol w:w="181"/>
        <w:gridCol w:w="586"/>
        <w:gridCol w:w="146"/>
        <w:gridCol w:w="146"/>
        <w:gridCol w:w="146"/>
        <w:gridCol w:w="146"/>
        <w:gridCol w:w="511"/>
        <w:gridCol w:w="146"/>
        <w:gridCol w:w="146"/>
        <w:gridCol w:w="196"/>
        <w:gridCol w:w="375"/>
        <w:gridCol w:w="146"/>
        <w:gridCol w:w="146"/>
        <w:gridCol w:w="214"/>
        <w:gridCol w:w="571"/>
        <w:gridCol w:w="151"/>
        <w:gridCol w:w="146"/>
        <w:gridCol w:w="146"/>
        <w:gridCol w:w="181"/>
        <w:gridCol w:w="631"/>
        <w:gridCol w:w="151"/>
        <w:gridCol w:w="146"/>
        <w:gridCol w:w="202"/>
        <w:gridCol w:w="709"/>
        <w:gridCol w:w="199"/>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759,582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(60,093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(60,093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48,446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887,074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13,745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(838,726</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(838,724</w:t>
            </w:r>
          </w:p>
        </w:tc>
        <w:tc>
          <w:tcPr>
            <w:tcW w:w="1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bl>
    <w:p>
      <w:pPr>
        <w:pStyle w:val="TextBody"/>
        <w:bidi w:val="0"/>
        <w:spacing w:before="120" w:after="283"/>
        <w:jc w:val="both"/>
        <w:rPr>
          <w:rFonts w:ascii="Times New Roman" w:hAnsi="Times New Roman"/>
          <w:sz w:val="20"/>
        </w:rPr>
      </w:pPr>
      <w:r>
        <w:rPr>
          <w:rFonts w:ascii="Times New Roman" w:hAnsi="Times New Roman"/>
          <w:color w:val="000000"/>
          <w:sz w:val="16"/>
        </w:rPr>
        <w:t xml:space="preserve">* Refer to </w:t>
      </w:r>
      <w:r>
        <w:rPr>
          <w:rFonts w:ascii="Times New Roman" w:hAnsi="Times New Roman"/>
          <w:b/>
          <w:color w:val="000000"/>
          <w:sz w:val="16"/>
        </w:rPr>
        <w:t>Note 13. Stockholders' Equity and Redeemable Convertible Preferred Stock</w:t>
      </w:r>
      <w:r>
        <w:rPr>
          <w:rFonts w:ascii="Times New Roman" w:hAnsi="Times New Roman"/>
          <w:color w:val="000000"/>
          <w:sz w:val="20"/>
        </w:rPr>
        <w:t xml:space="preserve"> </w:t>
      </w:r>
      <w:r>
        <w:rPr>
          <w:rFonts w:ascii="Times New Roman" w:hAnsi="Times New Roman"/>
          <w:color w:val="000000"/>
          <w:sz w:val="16"/>
        </w:rPr>
        <w:t>for details of the classes of Preferred Stock and movements therein.</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The Company and Initial Public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Firefly Aerospace Inc. (“Firefly” or the “Company”) is headquartered in Cedar Park, Texas. The Company was incorporated under the laws of the State of Delaware on January 27, 2017 and commenced operations on May 1, 2017.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completed an initial public offering (“IPO”) of shares of its common stock, par value $0.0001 per share. The Company’s common stock trades on the NASDAQ under the ticker “FLY.”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space and defense technology company providing comprehensive mission solutions to national security, government, and commercial customers with an established track record of success. The Company's mission is to reliably and repeatedly launch, land, and operate space systems from Earth to the Moon and beyond. Backed by a world-class team and proven technology, Firefly designs, develops, and deploys launch vehicles and dynamic spacecraft solutions to support critical missions to space and defense customers. The Company’s vertically-integrated approach encompasses the design, manufacturing and operation of small and medium launch vehicles, landers and spacecraft, as well as the development of complementary remote sensing, missile defense, and command and control software systems. Its purpose-built family of products aligns with the ongoing paradigm shift in government missions and procurement processes, where speed, efficiency, and economics drive customer decision-making. Through its offerings across launch and spacecraft solutions, its vertically-integrated product line, and its infrastructure, Firefly serves as a critical provider for commercial and government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Firefly’s formation, it has established itself as a category leader across a diverse range of products and services that takes a comprehensive approach to providing a family of solutions to its customers’ space-based opportunities.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October 31, 2025, the Company completed its acquisition of SciTec, Inc. (“SciTec”), a leader in advanced national security technologies. The acquisition advances the Company’s comprehensive space services by adding mission-proven defense software analytics, remote sensing, and multi-phenomenology data expertise. SciTec’s core capabilities – which include missile warning, tracking and defense, intelligence, surveillance and reconnaissance, space domain awareness, and autonomous command and control – supplement Firefly’s launch, lunar, and in-space services. SciTec further adds ground and onboard data processing as well as AI-enabled systems designed for low latency operations to support advanced threat tracking and response across multiple domains.</w:t>
      </w:r>
    </w:p>
    <w:p>
      <w:pPr>
        <w:pStyle w:val="TextBody"/>
        <w:bidi w:val="0"/>
        <w:jc w:val="both"/>
        <w:rPr>
          <w:rFonts w:ascii="Times New Roman" w:hAnsi="Times New Roman"/>
          <w:color w:val="000000"/>
          <w:sz w:val="20"/>
        </w:rPr>
      </w:pPr>
      <w:r>
        <w:rPr>
          <w:rFonts w:ascii="Times New Roman" w:hAnsi="Times New Roman"/>
          <w:color w:val="000000"/>
          <w:sz w:val="20"/>
        </w:rPr>
        <w:t>As an early-stage company with a limited commercial operating history, Firefly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operating as a manufacturing company, capable of producing and selling products at scale, as of the date the technological feasibility of the Alpha rocket is confirmed.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The Company’s executive leadership comprised of at least the Chief Operating Officer and the Chief Technology Officer shall determine at what point the Company’s products have been fully qualified to reach technological feasibility and full-rate production. Until this determination is made, the Company has not recorded any inventory amounts, and all costs incurred are expensed.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unaudited condensed consolidated financial statements of the Company have been prepared on a going concern basis, which contemplates the realization of assets and the discharge of liabilities in the normal course of business. From inception, the Company has incurred an accumulated deficit totaling $1.1 billion as of March 31, 2026, and has incurred $62.5 million and $56.5 million in negative cash flows from operations during the three months ended March 31, 2026 and 2025, respectively.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August 8, 2025, the Company completed its IPO of an aggregate of 22.2 million shares of its common stock, par value $0.0001, which includes the exercise in full by the underwriters of their option to purchase an additional 2.9 million shares of common stock, at a public offering price of $45.00 per share, for an aggregate offering price of $998.6 million. The Company received aggregate proceeds of $932.3 million, net of $57.4 million of underwriting discounts and commissions and $11.4 million of offering costs. </w:t>
      </w:r>
    </w:p>
    <w:p>
      <w:pPr>
        <w:pStyle w:val="TextBody"/>
        <w:bidi w:val="0"/>
        <w:jc w:val="both"/>
        <w:rPr>
          <w:rFonts w:ascii="Times New Roman" w:hAnsi="Times New Roman"/>
          <w:sz w:val="20"/>
        </w:rPr>
      </w:pPr>
      <w:r>
        <w:rPr>
          <w:rFonts w:ascii="Times New Roman" w:hAnsi="Times New Roman"/>
          <w:color w:val="000000"/>
          <w:sz w:val="20"/>
        </w:rPr>
        <w:t xml:space="preserve">In connection with the closing of the IPO, all outstanding shares of the Company's Preferred Stock were converted into 105.8 million shares of common stock. All outstanding Common Warrants were automatically exercised into 1.0 million shares of common stock and 0.6 million shares of common stock are reserved for issuance upon exercise of the Series J Warrants (each as defined in </w:t>
      </w:r>
      <w:r>
        <w:rPr>
          <w:rFonts w:ascii="Times New Roman" w:hAnsi="Times New Roman"/>
          <w:b/>
          <w:color w:val="000000"/>
          <w:sz w:val="20"/>
        </w:rPr>
        <w:t>Note 9. Fair Value Measurement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On August 8, 2025, the Company used a portion of the net proceeds from the IPO to repay the Term Loans under the Financing Agreement (each as defined in </w:t>
      </w:r>
      <w:r>
        <w:rPr>
          <w:rFonts w:ascii="Times New Roman" w:hAnsi="Times New Roman"/>
          <w:b/>
          <w:color w:val="000000"/>
          <w:sz w:val="20"/>
        </w:rPr>
        <w:t>Note 11. Notes Payable</w:t>
      </w:r>
      <w:r>
        <w:rPr>
          <w:rFonts w:ascii="Times New Roman" w:hAnsi="Times New Roman"/>
          <w:color w:val="000000"/>
          <w:sz w:val="20"/>
        </w:rPr>
        <w:t xml:space="preserve">), together with the specified prepayment premium of $11.4 million, and accrued interest. </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 xml:space="preserve">In connection with the IPO, the Company effected a 1-for-3.2544 reverse stock split of its common stock and a proportionate decrease in the number of its authorized shares. All share and per share information, including share-based compensation, throughout the accompanying unaudited condensed consolidated financial statements has been retroactively adjusted to reflect the reverse stock split. </w:t>
      </w:r>
    </w:p>
    <w:p>
      <w:pPr>
        <w:pStyle w:val="TextBody"/>
        <w:bidi w:val="0"/>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the Company have been prepared in accordance with generally accepted accounting principles in the United States of America (“U.S. GAAP”) and the rules and regulations of the Securities and Exchange Commission (the “SEC”) for interim financial information. Certain information and disclosures normally included in the audited consolidated financial statements have been condensed or omitted pursuant to such rules and regulations. In the opinion of management, the unaudited condensed consolidated financial statements reflect all adjustments, consisting of normal recurring adjustments, which are necessary for the fair statement of the unaudited condensed consolidated balance sheets, statements of net loss and comprehensive loss, statements of cash flows, and statements of convertible preferred stock and stockholders’ equity (deficit) for these interim periods. The results for the interim period are not necessarily indicative of the results that may be expected for a full year. All intercompany balances and transactions have been eliminated.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Company's unaudited condensed consolidated financial statements have been prepared in conformity with U.S. GAAP, which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Actual results may differ from these estimates. </w:t>
      </w:r>
    </w:p>
    <w:p>
      <w:pPr>
        <w:pStyle w:val="TextBody"/>
        <w:bidi w:val="0"/>
        <w:jc w:val="both"/>
        <w:rPr>
          <w:rFonts w:ascii="Times New Roman" w:hAnsi="Times New Roman"/>
          <w:b/>
          <w:i/>
          <w:color w:val="000000"/>
          <w:sz w:val="20"/>
        </w:rPr>
      </w:pPr>
      <w:r>
        <w:rPr>
          <w:rFonts w:ascii="Times New Roman" w:hAnsi="Times New Roman"/>
          <w:b/>
          <w:i/>
          <w:color w:val="000000"/>
          <w:sz w:val="20"/>
        </w:rPr>
        <w:t>Prior Period Reclassifications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Certain immaterial prior period amounts have been reclassified to conform to the current period presentation.</w:t>
      </w:r>
    </w:p>
    <w:p>
      <w:pPr>
        <w:pStyle w:val="TextBody"/>
        <w:bidi w:val="0"/>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estimates expected credit losses based on relevant information about past events,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When measuring expected credit losses, the Company will pool assets with similar country risk and credit risk characteristics. Changes in the relevant information may significantly affect the estimates of expected credit losses. The Company writes off accounts receivable that has become uncollectible.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Major customers are defined as those individually comprising more than 10% of the Company’s total revenue. The Company’s revenue related to its major customers during the three months ended March 31, 2026 and 2025 was as follows:</w:t>
      </w:r>
    </w:p>
    <w:tbl>
      <w:tblPr>
        <w:tblW w:w="5061" w:type="dxa"/>
        <w:jc w:val="left"/>
        <w:tblInd w:w="0" w:type="dxa"/>
        <w:tblLayout w:type="fixed"/>
        <w:tblCellMar>
          <w:top w:w="28" w:type="dxa"/>
          <w:left w:w="28" w:type="dxa"/>
          <w:bottom w:w="28" w:type="dxa"/>
          <w:right w:w="28" w:type="dxa"/>
        </w:tblCellMar>
      </w:tblPr>
      <w:tblGrid>
        <w:gridCol w:w="1151"/>
        <w:gridCol w:w="146"/>
        <w:gridCol w:w="307"/>
        <w:gridCol w:w="979"/>
        <w:gridCol w:w="569"/>
        <w:gridCol w:w="307"/>
        <w:gridCol w:w="307"/>
        <w:gridCol w:w="979"/>
        <w:gridCol w:w="3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customers that accounted for 10% or more of the Company’s total accounts receivable, were as follows:</w:t>
      </w:r>
    </w:p>
    <w:tbl>
      <w:tblPr>
        <w:tblW w:w="4365" w:type="dxa"/>
        <w:jc w:val="left"/>
        <w:tblInd w:w="0" w:type="dxa"/>
        <w:tblLayout w:type="fixed"/>
        <w:tblCellMar>
          <w:top w:w="28" w:type="dxa"/>
          <w:left w:w="28" w:type="dxa"/>
          <w:bottom w:w="28" w:type="dxa"/>
          <w:right w:w="28" w:type="dxa"/>
        </w:tblCellMar>
      </w:tblPr>
      <w:tblGrid>
        <w:gridCol w:w="1151"/>
        <w:gridCol w:w="146"/>
        <w:gridCol w:w="232"/>
        <w:gridCol w:w="743"/>
        <w:gridCol w:w="271"/>
        <w:gridCol w:w="146"/>
        <w:gridCol w:w="300"/>
        <w:gridCol w:w="960"/>
        <w:gridCol w:w="4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200" w:after="200"/>
        <w:jc w:val="both"/>
        <w:rPr>
          <w:rFonts w:ascii="Times New Roman" w:hAnsi="Times New Roman"/>
          <w:i/>
          <w:color w:val="000000"/>
          <w:sz w:val="20"/>
          <w:u w:val="single"/>
        </w:rPr>
      </w:pPr>
      <w:r>
        <w:rPr>
          <w:rFonts w:ascii="Times New Roman" w:hAnsi="Times New Roman"/>
          <w:i/>
          <w:color w:val="000000"/>
          <w:sz w:val="20"/>
          <w:u w:val="single"/>
        </w:rPr>
        <w:t>Recently Issued Accounting Pronouncements Not Yet Adopted</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ASU 2023-06</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October 2023, the Financial Accounting Standards Board (“FASB”) issued Accounting Standards Update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which incorporates certain SEC disclosure requirements into the FASB Accounting Standards Codification (“ASC”). The amendments in the ASU are expected to clarify or improve disclosure and presentation requirements of a variety of ASC topics, allow investors to more easily compare entities subject to the SEC’s existing disclosures with those entities that were not previously subject to the requirements, and align the requirements in the ASC with the SEC’s regulations. The effective date for each amendment will be the date on which the SEC’s removal of that related disclosure from Regulation S-X or Regulation S-K becomes effective, with early adoption prohibited. The amendments in this ASU are to be applied prospectively. The Company does not expect that ASU 2023-06 will have a material impact on its consolidated financial statements.</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ASU 2024-03</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In January 2025, the FASB issued ASU 2025-01, Income Statement—Reporting Comprehensive Income—Expense Disaggregation Disclosures,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adopting the ASU.</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ASU 2025-11</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clarifies the applicability of ASC 270, </w:t>
      </w:r>
      <w:r>
        <w:rPr>
          <w:rFonts w:ascii="Times New Roman" w:hAnsi="Times New Roman"/>
          <w:i/>
          <w:color w:val="000000"/>
          <w:sz w:val="20"/>
        </w:rPr>
        <w:t>Interim Reporting</w:t>
      </w:r>
      <w:r>
        <w:rPr>
          <w:rFonts w:ascii="Times New Roman" w:hAnsi="Times New Roman"/>
          <w:color w:val="000000"/>
          <w:sz w:val="20"/>
        </w:rPr>
        <w:t xml:space="preserve"> and the form and content of interim financial statements. In addition, ASU 2025-11 requires entities to disclose material events occurring since the last annual reporting period. ASU 2025-11 will be effective for interim periods beginning January 1, 2028, and can be applied on a prospective or retrospective basis. The Company is in the process of evaluating the impact of this guidance on its financial statements; however, the Company does not expect that it will have a material impact on its consolidated financial statements.</w:t>
      </w:r>
    </w:p>
    <w:p>
      <w:pPr>
        <w:pStyle w:val="TextBody"/>
        <w:bidi w:val="0"/>
        <w:spacing w:before="40" w:after="200"/>
        <w:jc w:val="both"/>
        <w:rPr>
          <w:rFonts w:ascii="Times New Roman" w:hAnsi="Times New Roman"/>
          <w:i/>
          <w:color w:val="000000"/>
          <w:sz w:val="20"/>
          <w:u w:val="single"/>
        </w:rPr>
      </w:pPr>
      <w:r>
        <w:rPr>
          <w:rFonts w:ascii="Times New Roman" w:hAnsi="Times New Roman"/>
          <w:i/>
          <w:color w:val="000000"/>
          <w:sz w:val="20"/>
          <w:u w:val="single"/>
        </w:rPr>
        <w:t>Recently Adopted Accounting Pronouncements</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ASU 2025-05</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which provides entities with a practical expedient to simplify the estimation of expected credit losses on current accounts receivable and current contract assets that arise from transactions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by allowing the assumption that conditions as of the balance sheet date will not change during the remaining life of the asset. ASU 2025-05 is effective for annual periods beginning after December 15, 2025 and interim periods within those annual reporting periods, with early adoption permitted. The Company elected to apply the practical expedient in its assessment of the allowance for credit losses as of January 1, 2026, which did not have a material impact on the Company's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60"/>
        <w:jc w:val="both"/>
        <w:rPr>
          <w:rFonts w:ascii="Times New Roman" w:hAnsi="Times New Roman"/>
          <w:b/>
          <w:i/>
          <w:color w:val="000000"/>
          <w:sz w:val="20"/>
        </w:rPr>
      </w:pPr>
      <w:r>
        <w:rPr>
          <w:rFonts w:ascii="Times New Roman" w:hAnsi="Times New Roman"/>
          <w:b/>
          <w:i/>
          <w:color w:val="000000"/>
          <w:sz w:val="20"/>
        </w:rPr>
        <w:t>ASU 2025-06</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to improve the operability and application of guidance related to capitalized software development costs. ASU 2025-06 is effective for fiscal years beginning after December 15, 2027, and interim reporting periods within those annual reporting periods, with early adoption permitted. The guidance may be applied prospectively, retrospectively, or using a modified retrospective basis that is based on the status of the project and whether software costs were capitalized before the date of adoption. The Company early adopted ASU 2025-06 effective January 1, 2026 on a prospective basis. The adoption of ASU 2025-06 did not have a material impact on the Company’s consolidated financial statements and related disclosures.</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3. Business Combinations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SciTec</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October 31, 2025, the Company completed the acquisition of all of the outstanding capital stock of SciTec for a purchase price of $550.3 million, consisting of $277.4 million in cash, net of cash acquired, $269.6 million in common stock, and a $3.3 million post-closing working capital adjustment (which was accrued as additional cash consideration payable and included in accrued expenses as of March 31, 2026). SciTec has over four decades of experience and offers industry-leading AI-enabled defense software applications and big data processing capabilities in the forms of cloud-based, on-premise, and edge processing of high volumes of data from satellites across all orbits that are complementary to Firefly's launch, lunar, and in-space vehicles. This acquisition is expected to complement the Company's full-service hardware and software offerings to space and defense customers. SciTec is based in Princeton, New Jersey, and has facilities in Boulder, Colorado; El Segundo, California; Fairborn, Ohio; Huntsville, Alabama; and Herndon, Virginia.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acquisition was accounted for as a business combination under ASC 805, </w:t>
      </w:r>
      <w:r>
        <w:rPr>
          <w:rFonts w:ascii="Times New Roman" w:hAnsi="Times New Roman"/>
          <w:i/>
          <w:color w:val="000000"/>
          <w:sz w:val="20"/>
        </w:rPr>
        <w:t>Business Combinations</w:t>
      </w:r>
      <w:r>
        <w:rPr>
          <w:rFonts w:ascii="Times New Roman" w:hAnsi="Times New Roman"/>
          <w:color w:val="000000"/>
          <w:sz w:val="20"/>
        </w:rPr>
        <w:t>, with the Company identified as the acquirer. The purchase price allocation as of the date of acquisition was based on a preliminary valuation and is subject to revision as more detailed analyses are completed and additional information about the fair value of assets acquired and liabilities assumed becomes available during the measurement period, a period not to exceed 12 months from the acquisition date. In connection with the acquisition, the Company incurred acquisition-related costs of $24.4 million, which were expensed as incurred on the date of closing.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 below sets forth the consideration paid, the fair value of the assets acquired, and liabilities assumed at the acquisition date, as well as the measurement period adjustments recorded as of March 31, 2026:</w:t>
      </w:r>
    </w:p>
    <w:tbl>
      <w:tblPr>
        <w:tblW w:w="10205" w:type="dxa"/>
        <w:jc w:val="left"/>
        <w:tblInd w:w="0" w:type="dxa"/>
        <w:tblLayout w:type="fixed"/>
        <w:tblCellMar>
          <w:top w:w="28" w:type="dxa"/>
          <w:left w:w="28" w:type="dxa"/>
          <w:bottom w:w="28" w:type="dxa"/>
          <w:right w:w="28" w:type="dxa"/>
        </w:tblCellMar>
      </w:tblPr>
      <w:tblGrid>
        <w:gridCol w:w="2218"/>
        <w:gridCol w:w="146"/>
        <w:gridCol w:w="583"/>
        <w:gridCol w:w="2172"/>
        <w:gridCol w:w="146"/>
        <w:gridCol w:w="146"/>
        <w:gridCol w:w="307"/>
        <w:gridCol w:w="834"/>
        <w:gridCol w:w="146"/>
        <w:gridCol w:w="146"/>
        <w:gridCol w:w="672"/>
        <w:gridCol w:w="2495"/>
        <w:gridCol w:w="194"/>
      </w:tblGrid>
      <w:tr>
        <w:trPr/>
        <w:tc>
          <w:tcPr>
            <w:tcW w:w="2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 Amounts Recognized as of 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 Amounts Recognized, As Adjusted as of March 31,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working capital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550,294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436,343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655,481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105,187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550,294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fair value of the property and equipment, and working capital items including accounts receivable, other current assets, accounts payable, accrued expenses, and other current liabilities, approximates their respective carrying values at the date of the acquisition, as well as the adjustments recorded during the measurement period. Operating lease liabilities were remeasured at the present value of the remaining lease payments using the Company's incremental borrowing rate as of the acquisition date. The corresponding right-of-use assets were measured at an amount equal to the remeasured lease liabilities.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fair value of acquired identifiable intangible assets at the date of the acquisition:</w:t>
      </w:r>
    </w:p>
    <w:tbl>
      <w:tblPr>
        <w:tblW w:w="6935" w:type="dxa"/>
        <w:jc w:val="left"/>
        <w:tblInd w:w="0" w:type="dxa"/>
        <w:tblLayout w:type="fixed"/>
        <w:tblCellMar>
          <w:top w:w="28" w:type="dxa"/>
          <w:left w:w="28" w:type="dxa"/>
          <w:bottom w:w="28" w:type="dxa"/>
          <w:right w:w="28" w:type="dxa"/>
        </w:tblCellMar>
      </w:tblPr>
      <w:tblGrid>
        <w:gridCol w:w="2806"/>
        <w:gridCol w:w="146"/>
        <w:gridCol w:w="332"/>
        <w:gridCol w:w="1228"/>
        <w:gridCol w:w="146"/>
        <w:gridCol w:w="146"/>
        <w:gridCol w:w="213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the acquisition date, trade name and trademarks, developed technology, and customer relationships are classified as finite-lived intangible assets and are subject to annual impairment assessments under ASC 350-30-35-18 through 35-20.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fair value of the acquired intangible assets, including trade name and trademarks and developed technology was determined </w:t>
      </w:r>
      <w:r>
        <w:rPr>
          <w:rFonts w:ascii="Times New Roman" w:hAnsi="Times New Roman"/>
          <w:color w:val="231F20"/>
          <w:sz w:val="20"/>
        </w:rPr>
        <w:t>using the</w:t>
      </w:r>
      <w:r>
        <w:rPr>
          <w:rFonts w:ascii="Times New Roman" w:hAnsi="Times New Roman"/>
          <w:color w:val="000000"/>
          <w:sz w:val="20"/>
        </w:rPr>
        <w:t xml:space="preserve"> relief from royalty method, while customer relationships were determined using the multi-period excess earnings method. Significant a</w:t>
      </w:r>
      <w:r>
        <w:rPr>
          <w:rFonts w:ascii="Times New Roman" w:hAnsi="Times New Roman"/>
          <w:color w:val="231F20"/>
          <w:sz w:val="20"/>
        </w:rPr>
        <w:t xml:space="preserve">ssumptions used in the determination of the fair values include forecasted revenue growth rates, assumed royalty rates and the market-participant discount rate. </w:t>
      </w:r>
      <w:r>
        <w:rPr>
          <w:rFonts w:ascii="Times New Roman" w:hAnsi="Times New Roman"/>
          <w:color w:val="000000"/>
          <w:sz w:val="20"/>
        </w:rPr>
        <w:t xml:space="preserve">The useful life used in the valuation analysis was based on the economic life of each intangible asset. The Company assessed the economic useful life of these intangibles and concluded that these periods will be used as the amortization periods going forward.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consideration of the nature of the amortization, management has concluded that the most appropriate way to reflect the economic benefits of the pattern in which the benefits are realized is to reflect the amortization in a manner consistent with the cash flow build up by period reflected in the valuation report.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determining the useful lives and amortization policy to apply to the intangible assets acquired, the Company assessed the pattern in which the economic benefits of the assets are consumed. Based on this assessment, the Company amortizes its intangible assets based on the methodology that approximates the pattern in which it expects to benefit economically from these acquired intangible assets. The useful life is also derived from the time period over which the majority of the cash flows are expected to be generated. The Company will employ the useful lives identified through this exercise and amortize amounts using the economic consumption of the intangible asset over the accounting useful life for amortization of the associated intangible asset. </w:t>
      </w:r>
    </w:p>
    <w:p>
      <w:pPr>
        <w:pStyle w:val="TextBody"/>
        <w:bidi w:val="0"/>
        <w:jc w:val="both"/>
        <w:rPr>
          <w:rFonts w:ascii="Times New Roman" w:hAnsi="Times New Roman"/>
          <w:color w:val="000000"/>
          <w:sz w:val="20"/>
        </w:rPr>
      </w:pPr>
      <w:r>
        <w:rPr>
          <w:rFonts w:ascii="Times New Roman" w:hAnsi="Times New Roman"/>
          <w:color w:val="000000"/>
          <w:sz w:val="20"/>
        </w:rPr>
        <w:t>Goodwill generated from this business combination is primarily attributable to expected synergies from the transaction and incremental revenue and profit to be derived from the Company’s expansion into full-service hardware and software for its space and defense customers. The goodwill is not expected to be deductible for U.S. income tax purposes.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Unaudited Pro Forma Information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unaudited pro forma financial information presents the combined results of operations as if SciTec had been acquired as of the beginning of fiscal year 2025. The unaudited pro forma results include certain adjustments to revenue and net loss directly attributable to each acquisition, including transaction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SciTec acquisition, transaction costs of approximately $29.6 million are assumed to have been incurred on January 1, 2025 and recognized during 2025, of which $24.4 million were incurred by SciTec and $5.2 million were incurred by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financial information is presented for informational purposes only and is not necessarily indicative of the consolidated results of operations of the combined businesses had the acquisitions actually occurred at the beginning of the respective periods, nor is it indicative of the future results of operations of the combined businesses.</w:t>
      </w:r>
    </w:p>
    <w:tbl>
      <w:tblPr>
        <w:tblW w:w="8938" w:type="dxa"/>
        <w:jc w:val="left"/>
        <w:tblInd w:w="0" w:type="dxa"/>
        <w:tblLayout w:type="fixed"/>
        <w:tblCellMar>
          <w:top w:w="28" w:type="dxa"/>
          <w:left w:w="28" w:type="dxa"/>
          <w:bottom w:w="28" w:type="dxa"/>
          <w:right w:w="28" w:type="dxa"/>
        </w:tblCellMar>
      </w:tblPr>
      <w:tblGrid>
        <w:gridCol w:w="4666"/>
        <w:gridCol w:w="146"/>
        <w:gridCol w:w="872"/>
        <w:gridCol w:w="3043"/>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Revenue</w:t>
      </w:r>
    </w:p>
    <w:p>
      <w:pPr>
        <w:pStyle w:val="TextBody"/>
        <w:bidi w:val="0"/>
        <w:spacing w:before="200" w:after="200"/>
        <w:jc w:val="both"/>
        <w:rPr>
          <w:rFonts w:ascii="Times New Roman" w:hAnsi="Times New Roman"/>
          <w:sz w:val="20"/>
        </w:rPr>
      </w:pPr>
      <w:r>
        <w:rPr>
          <w:rFonts w:ascii="Times New Roman" w:hAnsi="Times New Roman"/>
          <w:color w:val="000000"/>
          <w:sz w:val="20"/>
        </w:rPr>
        <w:t>The following table presents revenue disaggregated by type for the three months ended March 31, 2026 and 2025</w:t>
      </w:r>
      <w:r>
        <w:rPr>
          <w:rFonts w:ascii="Times New Roman" w:hAnsi="Times New Roman"/>
          <w:b/>
          <w:color w:val="000000"/>
          <w:sz w:val="20"/>
        </w:rPr>
        <w:t>:</w:t>
      </w:r>
    </w:p>
    <w:tbl>
      <w:tblPr>
        <w:tblW w:w="6561" w:type="dxa"/>
        <w:jc w:val="left"/>
        <w:tblInd w:w="0" w:type="dxa"/>
        <w:tblLayout w:type="fixed"/>
        <w:tblCellMar>
          <w:top w:w="28" w:type="dxa"/>
          <w:left w:w="28" w:type="dxa"/>
          <w:bottom w:w="28" w:type="dxa"/>
          <w:right w:w="28" w:type="dxa"/>
        </w:tblCellMar>
      </w:tblPr>
      <w:tblGrid>
        <w:gridCol w:w="2476"/>
        <w:gridCol w:w="346"/>
        <w:gridCol w:w="352"/>
        <w:gridCol w:w="1129"/>
        <w:gridCol w:w="243"/>
        <w:gridCol w:w="243"/>
        <w:gridCol w:w="352"/>
        <w:gridCol w:w="1129"/>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67,627</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80,879</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55,855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jc w:val="both"/>
        <w:rPr>
          <w:rFonts w:ascii="Times New Roman" w:hAnsi="Times New Roman"/>
          <w:color w:val="000000"/>
          <w:sz w:val="20"/>
        </w:rPr>
      </w:pPr>
      <w:r>
        <w:rPr>
          <w:rFonts w:ascii="Times New Roman" w:hAnsi="Times New Roman"/>
          <w:color w:val="000000"/>
          <w:sz w:val="20"/>
        </w:rPr>
        <w:t>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under these contracts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enters into contracts with its customers to provide engineering services and related components, and to develop and provide licenses for intellectual property. In these cases, the Company’s performance obligation is satisfied over time since the tasks are performed according to the customer’s specifications, which creates an asset with no alternative use to the Company, for which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 at completion of a performance obligation requires management to make estimates related to items such as subcontractor performance, material costs and availability, labor costs and productivity, and the costs of overhead. If the estimate of total costs to be incurred for a contract exceeds the total estimate of revenue to be earned, a provision for the entire loss on the contract is recognized in the period the loss is identified. Engineering services billed hourly are recognized over time.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Spacecraft Solutions revenue includes revenue from contracts with commercial and government entities to provide end-to-end services to integrate payloads into Blue Ghost and Elytra for transport to the Moon and on-orbit space domain awareness missions, respectively, as well as to develop and provide software, sensor, and data processing capabilities for national defense missions. These contracts include firm-fixed-price, time and materials, and cost-plus pricing structures. For commercial payload services we consider the performance obligation to be the integration and delivery of customer payloads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the Company, or (2) the customer receives and consumes benefits as work is completed and the Company has an enforceable right to payment for performance completed to date.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Spacecraft Solutions arrangements,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estimated.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our Spacecraft Solutions contracts do not contain an embedded lease because the Company is able to derive more than insignificant economic benefits from the various capabilities provided through these contracts. However, in the limited instances when the customer obtains substantially all of the economic benefits, determined at contract inception, the contract is determined to include an embedded lease. For such arrangements, the Company has determined that the customer is the deemed accounting owner of the asset during the construction period. As a result, the Company determined it is providing services for the integration and delivery of the customer payload for those arrangements, and accounts for them based on the guidance for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the Company considers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contracts may provide customers with termination for convenience clauses, which may or may not include termination penalties. In some contracts, the size of the contractual termination penalty increases closer to the scheduled launch date. At the inception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the following practical expedients for Launch and Spacecraft Solutions revenue: (1) the Company does not account for significant financing components if the period between revenue recognition and when the customer pays for the product or service will be one year or less, (2) the Company recognizes revenue equal to the amount it has a right to invoice when the amount corresponds directly with the value to the customer of the Company's performance to date, (3) the Company does not account for shipping and handling activities as a separate performance obligation, but rather as an activity performed to transfer the promised good or service, and (4) the Company will allocate the total consideration expected to be received from the customer to the total goods or services expected to be provided to the customer, including any expected contract term renewals.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includes in its computation of remaining performance obligations customer orders for which it has accepted signed sales orders. Due to their nature, time and materials contracts contain variable consideration; however, in general, the Company's performance obligations under time and materials contracts qualify for the “right to invoice” practical expedient. Under this practical expedient, the Company recognizes revenue over time, in the amount to which the Company has a right to invoice. In addition, the Company is not required to estimate such variable consideration upon inception of the contract and reassess the estimate each reporting period. The Company determined that this method best represents the transfer of services, as upon billing the Company has a right to consideration from a customer in an amount that directly corresponds with the value to the customer of the Company's performance completed to date. As of March 31, 2026, the aggregate amount of the transaction price allocated to remaining performance obligations was $652.6 million. The Company expects to recognize approximately 36.9% of its remaining performance obligations as revenue within the next 12 months. The remaining performance obligations are expected to be recognized over the next five years. The remaining performance obligations do not include variable consideration that was determined to be constrained as of March 31, 2026.</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Contract assets become trade receivables once the Company’s rights to consideration become unconditional. Such rights are considered unconditional if only the passage of time is required before payment of that consideration is due. Retainage represents a portion of the contract amount that has been billed, but that the contract allows the customer to retain until final contract settlement. Billings for such retainage balances are generally collected within one year of the completion of the project. Contract costs are those costs directly related to fulfillment of specified customer contracts. Contract assets are recorded within accounts receivable, net or other current assets, depending on whether they represent an unconditional right to consideration, and contract liabilities are recorded within deferred revenue on the unaudited condensed consolidated balance sheets.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Contract assets consisted of the following:</w:t>
      </w:r>
    </w:p>
    <w:tbl>
      <w:tblPr>
        <w:tblW w:w="6155" w:type="dxa"/>
        <w:jc w:val="left"/>
        <w:tblInd w:w="0" w:type="dxa"/>
        <w:tblLayout w:type="fixed"/>
        <w:tblCellMar>
          <w:top w:w="28" w:type="dxa"/>
          <w:left w:w="28" w:type="dxa"/>
          <w:bottom w:w="28" w:type="dxa"/>
          <w:right w:w="28" w:type="dxa"/>
        </w:tblCellMar>
      </w:tblPr>
      <w:tblGrid>
        <w:gridCol w:w="2061"/>
        <w:gridCol w:w="346"/>
        <w:gridCol w:w="342"/>
        <w:gridCol w:w="1098"/>
        <w:gridCol w:w="146"/>
        <w:gridCol w:w="146"/>
        <w:gridCol w:w="409"/>
        <w:gridCol w:w="1316"/>
        <w:gridCol w:w="291"/>
      </w:tblGrid>
      <w:tr>
        <w:trPr/>
        <w:tc>
          <w:tcPr>
            <w:tcW w:w="20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receivables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Retainage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Deferred revenue consisted of the following:</w:t>
      </w:r>
    </w:p>
    <w:tbl>
      <w:tblPr>
        <w:tblW w:w="6365" w:type="dxa"/>
        <w:jc w:val="left"/>
        <w:tblInd w:w="0" w:type="dxa"/>
        <w:tblLayout w:type="fixed"/>
        <w:tblCellMar>
          <w:top w:w="28" w:type="dxa"/>
          <w:left w:w="28" w:type="dxa"/>
          <w:bottom w:w="28" w:type="dxa"/>
          <w:right w:w="28" w:type="dxa"/>
        </w:tblCellMar>
      </w:tblPr>
      <w:tblGrid>
        <w:gridCol w:w="2271"/>
        <w:gridCol w:w="346"/>
        <w:gridCol w:w="306"/>
        <w:gridCol w:w="1134"/>
        <w:gridCol w:w="146"/>
        <w:gridCol w:w="146"/>
        <w:gridCol w:w="367"/>
        <w:gridCol w:w="1358"/>
        <w:gridCol w:w="291"/>
      </w:tblGrid>
      <w:tr>
        <w:trPr/>
        <w:tc>
          <w:tcPr>
            <w:tcW w:w="2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March 31, 2026 and 2025, the Company recognized $27.3 million and $44.9 million, respectively, of revenue that was included in the contract liabilities balance at the beginning of each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Loss Contracts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recognizes a contract loss when the current estimate of the consideration expected to be received is less than the current estimate of total estimated costs to complete the contract. For purposes of determining the existence or amount of a contract loss, the Company considers total contract consideration, including any variable consideration, constrained for revenue recognition purposes. The Company may experience favorable or unfavorable changes in contract losses from time to time due to changes in estimated contract costs and modifications that result in changes to contract prices. The Company did not recognize any additional loss provisions during the three months ended March 31, 2026 and 2025.</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Property and equipment, net consisted of the following as of March 31, 2026 and December 31, 2025:</w:t>
      </w:r>
    </w:p>
    <w:tbl>
      <w:tblPr>
        <w:tblW w:w="5932" w:type="dxa"/>
        <w:jc w:val="left"/>
        <w:tblInd w:w="0" w:type="dxa"/>
        <w:tblLayout w:type="fixed"/>
        <w:tblCellMar>
          <w:top w:w="28" w:type="dxa"/>
          <w:left w:w="28" w:type="dxa"/>
          <w:bottom w:w="28" w:type="dxa"/>
          <w:right w:w="28" w:type="dxa"/>
        </w:tblCellMar>
      </w:tblPr>
      <w:tblGrid>
        <w:gridCol w:w="2731"/>
        <w:gridCol w:w="346"/>
        <w:gridCol w:w="211"/>
        <w:gridCol w:w="781"/>
        <w:gridCol w:w="166"/>
        <w:gridCol w:w="146"/>
        <w:gridCol w:w="242"/>
        <w:gridCol w:w="898"/>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stands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205,831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163,738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Depreciation expense was $8.7 million and $4.0 million for the three months ended March 31, 2026 and 2025 respectively, and was recorded in the unaudited condensed consolidated statements of net loss within cost of sales, research and development, and selling, general, and administrative expenses.</w:t>
      </w:r>
    </w:p>
    <w:p>
      <w:pPr>
        <w:pStyle w:val="TextBody"/>
        <w:bidi w:val="0"/>
        <w:jc w:val="left"/>
        <w:rPr>
          <w:rFonts w:ascii="Times New Roman" w:hAnsi="Times New Roman"/>
          <w:b/>
          <w:color w:val="000000"/>
          <w:sz w:val="20"/>
        </w:rPr>
      </w:pPr>
      <w:r>
        <w:rPr>
          <w:rFonts w:ascii="Times New Roman" w:hAnsi="Times New Roman"/>
          <w:b/>
          <w:color w:val="000000"/>
          <w:sz w:val="20"/>
        </w:rPr>
        <w:t>6. Accrued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Accrued expenses consisted of the following as of:</w:t>
      </w:r>
    </w:p>
    <w:tbl>
      <w:tblPr>
        <w:tblW w:w="5927" w:type="dxa"/>
        <w:jc w:val="left"/>
        <w:tblInd w:w="0" w:type="dxa"/>
        <w:tblLayout w:type="fixed"/>
        <w:tblCellMar>
          <w:top w:w="28" w:type="dxa"/>
          <w:left w:w="28" w:type="dxa"/>
          <w:bottom w:w="28" w:type="dxa"/>
          <w:right w:w="28" w:type="dxa"/>
        </w:tblCellMar>
      </w:tblPr>
      <w:tblGrid>
        <w:gridCol w:w="2771"/>
        <w:gridCol w:w="446"/>
        <w:gridCol w:w="211"/>
        <w:gridCol w:w="676"/>
        <w:gridCol w:w="146"/>
        <w:gridCol w:w="146"/>
        <w:gridCol w:w="271"/>
        <w:gridCol w:w="869"/>
        <w:gridCol w:w="391"/>
      </w:tblGrid>
      <w:tr>
        <w:trPr/>
        <w:tc>
          <w:tcPr>
            <w:tcW w:w="277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working capital adjustment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7. Intangible Assets, Net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intangible assets gross carrying amount and accumulated amortization as of March 31, 2026 and December 31, 2025 are detailed below.</w:t>
      </w:r>
    </w:p>
    <w:tbl>
      <w:tblPr>
        <w:tblW w:w="8413" w:type="dxa"/>
        <w:jc w:val="left"/>
        <w:tblInd w:w="0" w:type="dxa"/>
        <w:tblLayout w:type="fixed"/>
        <w:tblCellMar>
          <w:top w:w="28" w:type="dxa"/>
          <w:left w:w="28" w:type="dxa"/>
          <w:bottom w:w="28" w:type="dxa"/>
          <w:right w:w="28" w:type="dxa"/>
        </w:tblCellMar>
      </w:tblPr>
      <w:tblGrid>
        <w:gridCol w:w="2206"/>
        <w:gridCol w:w="886"/>
        <w:gridCol w:w="146"/>
        <w:gridCol w:w="414"/>
        <w:gridCol w:w="1461"/>
        <w:gridCol w:w="146"/>
        <w:gridCol w:w="146"/>
        <w:gridCol w:w="250"/>
        <w:gridCol w:w="845"/>
        <w:gridCol w:w="166"/>
        <w:gridCol w:w="146"/>
        <w:gridCol w:w="311"/>
        <w:gridCol w:w="1099"/>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licenses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Internally-developed software</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 and trademarks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57,250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173,200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160,207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63" w:type="dxa"/>
        <w:jc w:val="left"/>
        <w:tblInd w:w="0" w:type="dxa"/>
        <w:tblLayout w:type="fixed"/>
        <w:tblCellMar>
          <w:top w:w="28" w:type="dxa"/>
          <w:left w:w="28" w:type="dxa"/>
          <w:bottom w:w="28" w:type="dxa"/>
          <w:right w:w="28" w:type="dxa"/>
        </w:tblCellMar>
      </w:tblPr>
      <w:tblGrid>
        <w:gridCol w:w="2056"/>
        <w:gridCol w:w="886"/>
        <w:gridCol w:w="146"/>
        <w:gridCol w:w="414"/>
        <w:gridCol w:w="1461"/>
        <w:gridCol w:w="146"/>
        <w:gridCol w:w="146"/>
        <w:gridCol w:w="279"/>
        <w:gridCol w:w="816"/>
        <w:gridCol w:w="166"/>
        <w:gridCol w:w="146"/>
        <w:gridCol w:w="311"/>
        <w:gridCol w:w="1099"/>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 and trademarks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171,484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165,709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capitalizes certain development costs incurred in connection with its internal-use software products including specific software upgrades and enhancements when it is probable the expenditures will result in additional features and functionality. Costs incurred prior to meeting the probable-to-complete threshold are expensed as incurred. Once the probable-to-complete threshold is satisfied, internal and external costs, if direct and incremental, are capitalized until the application is substantially complete and ready for its intended use. Capitalization ceases upon completion of all substantial testing, at which time amortization of the capitalized software begins. Internally-developed software is amortized on a straight-line basis over its estimated useful life, generally three to five years.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capitalized $2.0 million of both internal-use software licenses and software-in-development during the three months ended March 31, 2026. Capitalized costs associated with internally-developed software are not amortized until the related assets are substantially complete and ready for their intended use. Amortization expense related to the Company's finite-lived intangible assets was $7.2 million for the three months ended March 31, 2026. The Company did not recognize any amortization expense related to its finite-lived assets for the three months ended March 31,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 below presents expected amortization expense related to the Company's intangible assets as of March 31, 2026:</w:t>
      </w:r>
    </w:p>
    <w:tbl>
      <w:tblPr>
        <w:tblW w:w="6269" w:type="dxa"/>
        <w:jc w:val="left"/>
        <w:tblInd w:w="0" w:type="dxa"/>
        <w:tblLayout w:type="fixed"/>
        <w:tblCellMar>
          <w:top w:w="28" w:type="dxa"/>
          <w:left w:w="28" w:type="dxa"/>
          <w:bottom w:w="28" w:type="dxa"/>
          <w:right w:w="28" w:type="dxa"/>
        </w:tblCellMar>
      </w:tblPr>
      <w:tblGrid>
        <w:gridCol w:w="5086"/>
        <w:gridCol w:w="211"/>
        <w:gridCol w:w="781"/>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(for the remaining period)</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Internally-developed software not yet subject to amortization</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160,207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Goodwill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Changes in the carrying amount of goodwill are detailed below: </w:t>
      </w:r>
    </w:p>
    <w:tbl>
      <w:tblPr>
        <w:tblW w:w="5676" w:type="dxa"/>
        <w:jc w:val="left"/>
        <w:tblInd w:w="0" w:type="dxa"/>
        <w:tblLayout w:type="fixed"/>
        <w:tblCellMar>
          <w:top w:w="28" w:type="dxa"/>
          <w:left w:w="28" w:type="dxa"/>
          <w:bottom w:w="28" w:type="dxa"/>
          <w:right w:w="28" w:type="dxa"/>
        </w:tblCellMar>
      </w:tblPr>
      <w:tblGrid>
        <w:gridCol w:w="4201"/>
        <w:gridCol w:w="146"/>
        <w:gridCol w:w="146"/>
        <w:gridCol w:w="211"/>
        <w:gridCol w:w="78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SciTec acquisition net working capital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453,440</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Goodwill is defined as an asset representing the future economic benefits arising from other assets acquired in a business combination that are not individually identified and separately recognized. At March 31, 2026, the Company has only one operating segment, which represents its only reportable segment.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months ended March 31, 2026 the Company settled the post-closing working capital adjustment related to the acquisition of SciTec, which resulted in an increase to goodwill of $3.3 million.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uses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amounts of the Company’s financial instruments, which include cash equivalents, accounts receivable, accounts payable, certain prepaid expenses, other current assets, accrued liabilities, and other current liabilities approximate fair value because of their short-term maturities.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issued warrants to purchase Series J Preferred Stock (the “Series J Warrants”) in connection with the Company’s entrance into the Term Loans and issued warrants to purchase common stock (the “Common Warrants,” together with the “Series J Warrants,” the “Warrants”) and two tranche obligations: (1) the RPM Call Option and (2) the Majority Sponsor Top-Up (both as defined in </w:t>
      </w: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13. Stockholders’ Equity and Redeemable Convertible Preferred Stock</w:t>
      </w:r>
      <w:r>
        <w:rPr>
          <w:rFonts w:ascii="Times New Roman" w:hAnsi="Times New Roman"/>
          <w:color w:val="000000"/>
          <w:sz w:val="20"/>
        </w:rPr>
        <w:t xml:space="preserve">) in connection with the Company’s issuance of the Series D-1 Preferred Stock. The Company determined that the Warrants and tranche obligations should be classified as either liabilities or assets on the unaudited condensed consolidated balance sheets depending on valuation and are recorded at fair value both initially and subsequently, with changes in fair value recorded through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2025, the Majority Sponsor Top-Up expired unexercised when the total amount of Series D-1 Preferred Stock purchased by investors exceeded $250.0 million. On March 24, 2025, the RPM Call Option was terminated via amendment of the Series D stock purchase agreement. As a result, the $0.2 million Majority Sponsor Top-Up and $4.2 million RPM Call Option were derecognized from the unaudited condensed consolidated balance sheet and recognized in other income, net in the unaudited condensed consolidated statement of net loss and comprehensive loss for the three months ended March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IPO, the Common Warrants were net exercised into 1.0 million shares of common stock. The Series J Warrants remained outstanding as of March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Prior to the Company’s IPO on August 8, 2025, the Company used a Monte Carlo simulation model and probability weighted valuations based on different scenarios including change of control, IPO and default scenarios to value the Warrants. The value per Warrant under the change of control scenario was the average value per unit under 50,000 Monte Carlo simulations, the value per Warrant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IPO scenario was based on the number of common stock equivalent shares (including the Warrants) and total estimated equity value of the Company, and the value per Warrant under the default scenario was assumed to be zero.</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used a Black-Scholes option-pricing valuation model to value the Series J Warrants as of March 31, 2026. The following table presents the key inputs applied in the valuation of the Series J Warrants:</w:t>
      </w:r>
    </w:p>
    <w:tbl>
      <w:tblPr>
        <w:tblW w:w="4941" w:type="dxa"/>
        <w:jc w:val="left"/>
        <w:tblInd w:w="0" w:type="dxa"/>
        <w:tblLayout w:type="fixed"/>
        <w:tblCellMar>
          <w:top w:w="28" w:type="dxa"/>
          <w:left w:w="28" w:type="dxa"/>
          <w:bottom w:w="28" w:type="dxa"/>
          <w:right w:w="28" w:type="dxa"/>
        </w:tblCellMar>
      </w:tblPr>
      <w:tblGrid>
        <w:gridCol w:w="3241"/>
        <w:gridCol w:w="294"/>
        <w:gridCol w:w="215"/>
        <w:gridCol w:w="1000"/>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Series J Warrants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24.70-24.80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Series J Warrants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the key inputs applied in the valuation of the Series J Warrants as of December 31, 2025:</w:t>
      </w:r>
    </w:p>
    <w:tbl>
      <w:tblPr>
        <w:tblW w:w="5156" w:type="dxa"/>
        <w:jc w:val="left"/>
        <w:tblInd w:w="0" w:type="dxa"/>
        <w:tblLayout w:type="fixed"/>
        <w:tblCellMar>
          <w:top w:w="28" w:type="dxa"/>
          <w:left w:w="28" w:type="dxa"/>
          <w:bottom w:w="28" w:type="dxa"/>
          <w:right w:w="28" w:type="dxa"/>
        </w:tblCellMar>
      </w:tblPr>
      <w:tblGrid>
        <w:gridCol w:w="3241"/>
        <w:gridCol w:w="352"/>
        <w:gridCol w:w="243"/>
        <w:gridCol w:w="1129"/>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each of the three months ended March 31, 2026, and March 31, 2025 no warrants were issued. The fair value remeasurement of the Series J Warrants resulted in an increase in fair value of $3.7 million and $0.9 million for the three months ended March 31, 2026 and March 31, 2025, respectively. No warrants were exercised during the three months ended March 31, 2026 and March 31,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fair value of the Series J Warrants on March 31, 2026 was $16.0 million.</w:t>
      </w:r>
    </w:p>
    <w:tbl>
      <w:tblPr>
        <w:tblW w:w="7140"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676"/>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275,880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551,626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15,978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fair value of the Series J Warrants on December 31, 2025 was $12.3 million.</w:t>
      </w:r>
    </w:p>
    <w:tbl>
      <w:tblPr>
        <w:tblW w:w="7140"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676"/>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892,974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There were no transfers between levels within the fair value hierarchy during the three months ended March 31, 2026 and 2025.</w:t>
      </w:r>
    </w:p>
    <w:p>
      <w:pPr>
        <w:pStyle w:val="TextBody"/>
        <w:bidi w:val="0"/>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existing operating and finance leases for corporate offices and facilities, vehicles and certain equipment. The Company's leases have remaining lease terms of less than one year to 16 years, some of which include options to extend the lease term. For purposes of calculating lease liabilities, lease terms include options to extend the lease when it is reasonable certain that the Company will exercise such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components of lease expense were as follows:</w:t>
      </w:r>
    </w:p>
    <w:tbl>
      <w:tblPr>
        <w:tblW w:w="7796" w:type="dxa"/>
        <w:jc w:val="left"/>
        <w:tblInd w:w="0" w:type="dxa"/>
        <w:tblLayout w:type="fixed"/>
        <w:tblCellMar>
          <w:top w:w="28" w:type="dxa"/>
          <w:left w:w="28" w:type="dxa"/>
          <w:bottom w:w="28" w:type="dxa"/>
          <w:right w:w="28" w:type="dxa"/>
        </w:tblCellMar>
      </w:tblPr>
      <w:tblGrid>
        <w:gridCol w:w="3311"/>
        <w:gridCol w:w="746"/>
        <w:gridCol w:w="269"/>
        <w:gridCol w:w="728"/>
        <w:gridCol w:w="823"/>
        <w:gridCol w:w="823"/>
        <w:gridCol w:w="269"/>
        <w:gridCol w:w="536"/>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right-of-use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on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1,327</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of right-of-use assets was recorded within research and development, and selling, general, and administrative expenses, interest on lease liabilities was recorded within interest income, interest expense, and operating lease expense was recorded within research and development, and selling, general, and administrative expenses, each in the unaudited condensed consolidated statements of 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24, 2025, the Company signed a new office building lease, which commenced on March 1, 2026. The term of the lease is seven years. Upon lease commencement the Company recognized an initial lease liability of $2.8 million and a right-of-use asset of $4.5 million in accordance with ASC 842.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Operating and finance lease right-of-use assets and liabilities as of March 31, 2026 and December 31, 2025 were as follows:</w:t>
      </w:r>
    </w:p>
    <w:tbl>
      <w:tblPr>
        <w:tblW w:w="6645" w:type="dxa"/>
        <w:jc w:val="left"/>
        <w:tblInd w:w="0" w:type="dxa"/>
        <w:tblLayout w:type="fixed"/>
        <w:tblCellMar>
          <w:top w:w="28" w:type="dxa"/>
          <w:left w:w="28" w:type="dxa"/>
          <w:bottom w:w="28" w:type="dxa"/>
          <w:right w:w="28" w:type="dxa"/>
        </w:tblCellMar>
      </w:tblPr>
      <w:tblGrid>
        <w:gridCol w:w="3081"/>
        <w:gridCol w:w="546"/>
        <w:gridCol w:w="232"/>
        <w:gridCol w:w="743"/>
        <w:gridCol w:w="146"/>
        <w:gridCol w:w="146"/>
        <w:gridCol w:w="299"/>
        <w:gridCol w:w="96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right-of-use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most of the Company’s operating leases do not provide an implicit rate, the Company uses its incremental borrowing rate based on information available at the commencement date in determining the present value of lease payments.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Failed Sale and Leaseback</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leases various equipment through purchase and leaseback agreements with terms between five and seven years. The purchase and leaseback agreements provide an option for Firefly to purchase the equipment for nominal consideration that the Company is reasonably certain to exercise. The purchase and leaseback agreements were evaluated under the sale and leaseback guidance in ASC 842-40, </w:t>
      </w:r>
      <w:r>
        <w:rPr>
          <w:rFonts w:ascii="Times New Roman" w:hAnsi="Times New Roman"/>
          <w:i/>
          <w:color w:val="000000"/>
          <w:sz w:val="20"/>
        </w:rPr>
        <w:t>Leases – Sale and Leaseback Transactions</w:t>
      </w:r>
      <w:r>
        <w:rPr>
          <w:rFonts w:ascii="Times New Roman" w:hAnsi="Times New Roman"/>
          <w:color w:val="000000"/>
          <w:sz w:val="20"/>
        </w:rPr>
        <w:t>. Due to the purchase option, the transactions were accounted for as failed sales and leasebacks, and the Company has accounted for the purchase and leaseback agreements as 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the Company continues to reflect the manufacturing equipment on its unaudited condensed consolidated balance sheets in property and equipment, net, and continues to recognize depreciation expense over its estimated useful life. In 2024, the Company recorded an initial financing liability of $34.7 million, net of transaction costs, in notes payable. As of March 31, 2026, the Company’s related notes payable, current and non-current, were $6.1 million and $19.5 million, respectively. As of December 31, 2025, the Company’s related notes payable, current and non-current, were $6.0 million and $21.1 million, respectively. The Company does not recognize rent expense related to these purchase and leaseback agreements. Instead, periodic lease payments are recognized as interest expense and reductions of the principal balance of the finance liability.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payments of $1.4 million were made under the purchase and leaseback agreements in addition to interest expense of $0.5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2025, payments of $1.3 million were made under the purchase and leaseback agreements in addition to interest expense of $0.6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Notes Payable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Financing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17, 2023, the Company entered into a financing agreement (as amended from time to time and last amended August 13, 2024, the “Financing Agreement”) among the Company, as the Borrower, certain subsidiaries of the Company (collectively, “Guarantors”), lenders (the “Lenders”) and U.S. Bank Trust Company, N.A., as administrative agent and collateral agent (“Agent”). The Financing Agreement provided term loans in the aggregate principal amount of $136.1 million, comprised of $103.5 million principal amount of term A loans (the “Term A Loans”) and $32.6 million principal amount of term B loans (the “Term B Loans,” and together with the Term A Loans, and along with the incremental term loans from subsequent amendments from time to time, the “Term Loans”). The Term Loans mature on July 17, 2028 (the “Term Loan Maturity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obligations under the Financing Agreement were guaranteed by the Company and Guarantors, comprised of all wholly owned domestic subsidiaries of the Company other than certain excluded subsidiaries, and were secured by substantially all of the Company’s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AON Insurance Policy was issued to the Agent on behalf of the Lenders, which indemnified the Lenders up to $103.5 million of the Term A Loans for any loss incurred if the Company fails to pay the Term Loans when due. The Company paid the initial insurance premium of $15.0 million using the proceeds from the Term Loans. The Company was required to pay the insurer an exit fee equal to 0.75% of the principal amount of the Term A Loans on the date on which the loans were prepaid.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Financing Agreement required the Company to fund certain collateral accounts, comprised of interest reserve accounts and an insurance premium reserve account. Cash interest due but not paid from available unrestricted cash was payable from the interest reserve accounts, and funds deposited in the insurance premium account were used to pay the insurance premiums when due.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paid $18.7 million in debt issuance costs, including both lender fees and third-party costs, using the proceeds of the Term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Loans bore fixed interest rates. The interest rate for the Term A Loans was 13.875% per annum. The interest rate for the Term B Loans is 13.875% per annum from the initial closing date to the third anniversary of the initial closing date and 19.135% per annum thereafter until the Term Loan Maturity Date. Interest was computed on the basis of a 360</w:t>
        <w:noBreakHyphen/>
        <w:t>day year for the actual number of days elapsed and payable monthly in cash and in arrears on the last business day of each calendar month.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Mandatory prepayments were required to be made upon the occurrence of certain events. Voluntary prepayments were permitted in whole or in part at any time. All prepayments were subject to a specified premium that applies for the first 24 months following the initial closing date, calculated as the present value of the sum of the amounts of each unpaid interest payment due during the specified premium period computed using a discount rate equal to the treasury rate on the day one business day prior to the date of prepayment, plus 0.5%.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Financing Agreement contained certain covenants including a requirement for a minimum cash balance, financial covenants, and negative covenants customary for transactions of this type, including a specific covenant to the interest reserve accounts to maintain a minimum interest reserve amount equal to 7.9% of the aggregate balance of the Term Loans.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initial debt issuance costs, including the insurance premium paid, estimated second premium and final premium, exit fee and discount created by allocating proceeds to the fair value of the Series J Warrants issued in connection with the issuance of the Term Loans (refer to </w:t>
      </w:r>
      <w:r>
        <w:rPr>
          <w:rFonts w:ascii="Times New Roman" w:hAnsi="Times New Roman"/>
          <w:b/>
          <w:color w:val="000000"/>
          <w:sz w:val="20"/>
        </w:rPr>
        <w:t>Note 9. Fair Value Measurement for further detail</w:t>
      </w:r>
      <w:r>
        <w:rPr>
          <w:rFonts w:ascii="Times New Roman" w:hAnsi="Times New Roman"/>
          <w:color w:val="000000"/>
          <w:sz w:val="20"/>
        </w:rPr>
        <w:t xml:space="preserve">), were deferred and amortized to interest expense over the contractual term of the Term Loans using the effective interest method.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subsequent amendments of the Financing Agreement following the initial closing date did not result in a troubled debt restructuring and were all accounted for as debt modifications. As a result, the third-party costs incurred were expensed and newly incurred lender fees, along with the previously deferred and unamortized issuance costs of the Term Loans prior to the amendments, were deferred and amortized over the remaining contractual term of the Term Loans.</w:t>
      </w:r>
    </w:p>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Term Loans Extinguishment</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On August 8, 2025, the Company completed its IPO and used a portion of the net proceeds to fully repay the outstanding Term Loans under the Financing Agreement. The repayment included the principal amounts of the outstanding Term Loans, accrued interest, and applicable prepayment premiums.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recognized a loss on extinguishment of debt of $30.4 million, which includes the write-off of unamortized debt issuance costs, specified premium, and the exit fee associated with the Term A Loans and Term B Loans. The specified premium applicable to the prepayment was calculated in accordance with the terms of the Financing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the repayment, all obligations under the Financing Agreement, including guarantees and collateral arrangements, were terminated. The interest reserve accounts and insurance premium reserve account were released, and the related restricted cash balances were reclassified to unrestricted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Interest expense recognized related to the Term Loans was as follows: </w:t>
      </w:r>
    </w:p>
    <w:tbl>
      <w:tblPr>
        <w:tblW w:w="7253" w:type="dxa"/>
        <w:jc w:val="left"/>
        <w:tblInd w:w="0" w:type="dxa"/>
        <w:tblLayout w:type="fixed"/>
        <w:tblCellMar>
          <w:top w:w="28" w:type="dxa"/>
          <w:left w:w="28" w:type="dxa"/>
          <w:bottom w:w="28" w:type="dxa"/>
          <w:right w:w="28" w:type="dxa"/>
        </w:tblCellMar>
      </w:tblPr>
      <w:tblGrid>
        <w:gridCol w:w="3001"/>
        <w:gridCol w:w="146"/>
        <w:gridCol w:w="1056"/>
        <w:gridCol w:w="2859"/>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Revolving Line of Credit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On August 8, 2025, following the completion of the IPO, the Company entered into a new credit agreement providing for a senior secured revolving credit facility (the “Revolving Credit Facility”) in the aggregate principal amount of $125.0 million, which includes a sublimit for the issuance of letters of credit in an amount up to $15.0 million and a sublimit for swingline loans in an amount up to $7.5 million.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On November 7, 2025, the Company amended the credit agreement to, among other things, increase the then-existing commitments under the Revolving Credit Facility by $135.0 million for an aggregate principal amount of $260.0 million.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On April 3, 2026, the Company amended the credit agreement to, among other things, further increase the existing commitments under the Revolving Credit Facility by $45.0 million, for an aggregate principal amount of $305.0 million.</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Revolving Credit Facility matures on August 8, 2028.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As of March 31, 2026, the loans under the Revolving Credit Facility bear interest at a variable rate per annum equal to, at the Company's option, either (a) term SOFR plus a 3.00% spread or (b) an alternative base rate (as set forth in the credit agreement) plus a 2.00% spread. After giving effect to the April 3, 2026 amendment, the loans under the Revolving Credit Facility bear interest at a variable rate per annum equal to, at the Company's option, either (a) term SOFR plus a 3.25% spread or (b) an alternative base rate (as set forth in the credit agreement) plus a 2.25% spread.</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 commitment fee of 0.375% per annum is applied on the unused commitments under the Revolving Credit Facility.</w:t>
      </w:r>
    </w:p>
    <w:p>
      <w:pPr>
        <w:pStyle w:val="TextBody"/>
        <w:bidi w:val="0"/>
        <w:jc w:val="both"/>
        <w:rPr>
          <w:rFonts w:ascii="Times New Roman" w:hAnsi="Times New Roman"/>
          <w:color w:val="000000"/>
          <w:sz w:val="20"/>
        </w:rPr>
      </w:pPr>
      <w:r>
        <w:rPr>
          <w:rFonts w:ascii="Times New Roman" w:hAnsi="Times New Roman"/>
          <w:color w:val="000000"/>
          <w:sz w:val="20"/>
        </w:rPr>
        <w:t>Capitalized debt issuance costs are amortized into interest expense over the term of the Revolving Credit Facility on a straight-line basis. The remaining unamortized debt issuance costs for the Revolving Facility totaled $3.1 million as of March 31, 2026. Interest expense recognized during the three months ended March 31, 2026 related to the Revolving Facility were $2.7 million, including $2.4 million of contractual interest expense and $0.3 million in amortization of debt issuance costs.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On February 18, 2026, the Company repaid the $260.0 million in then-outstanding aggregate principal. At March 31, 2026, the Revolving Credit Facility remained undrawn.</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following table presents the Company's outstanding debt:</w:t>
      </w:r>
    </w:p>
    <w:tbl>
      <w:tblPr>
        <w:tblW w:w="7390" w:type="dxa"/>
        <w:jc w:val="left"/>
        <w:tblInd w:w="0" w:type="dxa"/>
        <w:tblLayout w:type="fixed"/>
        <w:tblCellMar>
          <w:top w:w="28" w:type="dxa"/>
          <w:left w:w="28" w:type="dxa"/>
          <w:bottom w:w="28" w:type="dxa"/>
          <w:right w:w="28" w:type="dxa"/>
        </w:tblCellMar>
      </w:tblPr>
      <w:tblGrid>
        <w:gridCol w:w="4486"/>
        <w:gridCol w:w="146"/>
        <w:gridCol w:w="232"/>
        <w:gridCol w:w="743"/>
        <w:gridCol w:w="166"/>
        <w:gridCol w:w="146"/>
        <w:gridCol w:w="268"/>
        <w:gridCol w:w="992"/>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7.71% due 2029</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8.31% due 2031</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288,809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281,441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(1) The unamortized issuance costs do not include the $3.1</w:t>
      </w:r>
      <w:r>
        <w:rPr>
          <w:rFonts w:ascii="Times New Roman" w:hAnsi="Times New Roman"/>
          <w:color w:val="000000"/>
          <w:sz w:val="20"/>
        </w:rPr>
        <w:t xml:space="preserve"> </w:t>
      </w:r>
      <w:r>
        <w:rPr>
          <w:rFonts w:ascii="Times New Roman" w:hAnsi="Times New Roman"/>
          <w:color w:val="000000"/>
          <w:sz w:val="16"/>
        </w:rPr>
        <w:t>million in debt issuance costs related to the Revolving Credit Facility included in other long term assets.</w:t>
      </w:r>
    </w:p>
    <w:p>
      <w:pPr>
        <w:pStyle w:val="TextBody"/>
        <w:bidi w:val="0"/>
        <w:spacing w:before="0" w:after="200"/>
        <w:jc w:val="both"/>
        <w:rPr>
          <w:rFonts w:ascii="Times New Roman" w:hAnsi="Times New Roman"/>
          <w:sz w:val="20"/>
        </w:rPr>
      </w:pPr>
      <w:r>
        <w:rPr>
          <w:rFonts w:ascii="Times New Roman" w:hAnsi="Times New Roman"/>
          <w:color w:val="000000"/>
          <w:sz w:val="16"/>
        </w:rPr>
        <w:t xml:space="preserve">(2) Includes obligations related to various equipment recorded as failed sale leaseback transactions. Refer to </w:t>
      </w:r>
      <w:r>
        <w:rPr>
          <w:rFonts w:ascii="Times New Roman" w:hAnsi="Times New Roman"/>
          <w:b/>
          <w:color w:val="000000"/>
          <w:sz w:val="16"/>
        </w:rPr>
        <w:t xml:space="preserve">Note 10. Leases </w:t>
      </w:r>
      <w:r>
        <w:rPr>
          <w:rFonts w:ascii="Times New Roman" w:hAnsi="Times New Roman"/>
          <w:color w:val="000000"/>
          <w:sz w:val="16"/>
        </w:rPr>
        <w:t>for further detail.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future principal payments on notes payable in each of the next five years and thereafter:</w:t>
      </w:r>
    </w:p>
    <w:tbl>
      <w:tblPr>
        <w:tblW w:w="4330" w:type="dxa"/>
        <w:jc w:val="left"/>
        <w:tblInd w:w="0" w:type="dxa"/>
        <w:tblLayout w:type="fixed"/>
        <w:tblCellMar>
          <w:top w:w="28" w:type="dxa"/>
          <w:left w:w="28" w:type="dxa"/>
          <w:bottom w:w="28" w:type="dxa"/>
          <w:right w:w="28" w:type="dxa"/>
        </w:tblCellMar>
      </w:tblPr>
      <w:tblGrid>
        <w:gridCol w:w="2986"/>
        <w:gridCol w:w="146"/>
        <w:gridCol w:w="211"/>
        <w:gridCol w:w="676"/>
        <w:gridCol w:w="3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(for the remaining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26,800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(1) The unamortized issuance costs do not include the $3.1</w:t>
      </w:r>
      <w:r>
        <w:rPr>
          <w:rFonts w:ascii="Times New Roman" w:hAnsi="Times New Roman"/>
          <w:color w:val="000000"/>
          <w:sz w:val="20"/>
        </w:rPr>
        <w:t xml:space="preserve"> </w:t>
      </w:r>
      <w:r>
        <w:rPr>
          <w:rFonts w:ascii="Times New Roman" w:hAnsi="Times New Roman"/>
          <w:color w:val="000000"/>
          <w:sz w:val="16"/>
        </w:rPr>
        <w:t>million in debt issuance costs related to the Revolving Credit Facility included in other assets, less current portion.</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 and Claims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is involved in various pending and threatened litigation matters in the ordinary course of business. In the future, it may be subject to additional legal proceedings, the scope and severity of which is unknown and could adversely affect its business. In addition, from time to time, the Company may receive letters or other forms of communication asserting claims against it.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November 11, 2025, one of Firefly’s purported stockholders filed a putative class action complaint in the United States District Court for the Western District of Texas in an action captioned Diamond v. Firefly Aerospace Inc., et al., Case No. 1:25-cv-01812 (W.D. Tex.) (the “Securities Action”). The complaint names Firefly and certain of Firefly’s current and former directors and officers as defendants, and asserts claims for alleged violations of Sections 10(b) and 20(a) of the Securities Exchange Act of 1934, as amended (the “Exchange Act”), and Rule 10b-5 promulgated thereunder and Sections 11 and 15 of the Securities Act of 1933, as amended (the “Securities Act”), arising from allegedly false or misleading statements or omissions of purportedly material fact concerning the demand and growth prospects of Firefly’s Spacecraft Solutions offerings and the operational readiness and commercial viability of the Alpha rocket. On March 26, 2026, the Court appointed a lead plaintiff, pursuant to the Private Securities Litigation Reform Act of 1995 and recaptioned the case as In re Firefly Aerospace Securities Litigation. The lead plaintiff in this matter is expected to file an amended complaint by May 29, 2026. Firefly intends to defend itself vigorously against these allegations and claims, but is currently unable to predict the outcome of this lawsuit and therefore cannot determine the likelihood of loss nor estimate a range of possible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December 23, 2025, one of Firefly’s purported stockholders filed a complaint in the United States District Court for the Western District of Texas in an action captioned Shadowbolt v. Kim, et al., Case No. 1:25-cv-02126 (W.D. Tex.) (the “Derivative Action”). The plaintiff seeks to pursue claims, purportedly on Firefly’s behalf, against certain of Firefly’s current and former directors and officers for alleged breaches of fiduciary duty and contribution under Section 21D of the Exchange Act and Section 11(f) of the Securities Act, among other common law causes of action, arising from substantially the same allegations at issue in the Securities Action. The Derivative Action is stayed in its entirety pending entry of final judgment, including after any appeals have been pursued or exhausted, in the Securities Action. Firefly is currently unable to predict the outcome of this lawsuit and therefore cannot determine the likelihood of loss nor estimate a range of possible loss.In addition to the above, in the ordinary course of business, Firefly is involved in a variety pending and threatened litigation matters, and in the future, Firefly may be subject to additional legal proceedings, the scope of which is unknown and could adversely affect our business. In addition, from time to time, we may receive letters or other forms of communication asserting claims against us. Regardless of the outcome, these proceedings could adversely impact our business because of defense costs, diversion of management resources, and other factors. Although the results of legal proceedings and claims are inherently unpredictable and uncertain, Firefly currently does not believe that these matters, individually or in the aggregate, will materially affect Firefly’s business, financial position, results of operations or cash flows.</w:t>
      </w:r>
    </w:p>
    <w:p>
      <w:pPr>
        <w:pStyle w:val="TextBody"/>
        <w:bidi w:val="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that arise in the ordinary course of business activities. The Company accrues a liability for such matters when it is probable that a liability has been incurred and the amount can be reasonably estimated. When only a range of a possible loss can be established, the most probable amount in the range is accrued. If no amount within the range is a better estimate than any other amount within the range, the minimum amount in the range is accrued. The accrual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 litigation loss contingency might include, for example, estimates of potential damages, outside legal fees, and other directly related costs expected to be incurred.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does not believe that any such matters, individually or in the aggregate, will materially affect the Company's consolidated financial condition, results of operations, or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$1.5 million and $2.3 million in contingent liabilities related to Spaceflight, Inc. contracts as of March 31, 2026 and December 31, 2025, respectively, which is included in other non-current liabilities in the unaudited condensed consolidated balance sheets. Due to the resolution of certain of the underlying matters, the balance decreased by $0.8 million during the three months ended March 31, 2026, and resulted in a net gain recognized in the condensed consolidated statements of net loss and comprehensive loss during the three months ended March 31,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also currently has directors’ and officers’ insurance.</w:t>
      </w:r>
    </w:p>
    <w:p>
      <w:pPr>
        <w:pStyle w:val="TextBody"/>
        <w:bidi w:val="0"/>
        <w:jc w:val="both"/>
        <w:rPr>
          <w:rFonts w:ascii="Times New Roman" w:hAnsi="Times New Roman"/>
          <w:sz w:val="20"/>
        </w:rPr>
      </w:pPr>
      <w:r>
        <w:rPr>
          <w:rFonts w:ascii="Times New Roman" w:hAnsi="Times New Roman"/>
          <w:b/>
          <w:color w:val="000000"/>
          <w:sz w:val="20"/>
        </w:rPr>
        <w:t>13. Stockholders’ Equity and Redeemable Convertible Preferred Stock</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Company's IPO, all of the then-outstanding shares of the Company’s redeemable convertible preferred stock (collectively, the “Preferred Stock”) were automatically converted into 105.8 million shares of common stock.</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Preferred Stock consisted of the following:</w:t>
      </w:r>
    </w:p>
    <w:tbl>
      <w:tblPr>
        <w:tblW w:w="10205" w:type="dxa"/>
        <w:jc w:val="left"/>
        <w:tblInd w:w="0" w:type="dxa"/>
        <w:tblLayout w:type="fixed"/>
        <w:tblCellMar>
          <w:top w:w="28" w:type="dxa"/>
          <w:left w:w="28" w:type="dxa"/>
          <w:bottom w:w="28" w:type="dxa"/>
          <w:right w:w="28" w:type="dxa"/>
        </w:tblCellMar>
      </w:tblPr>
      <w:tblGrid>
        <w:gridCol w:w="1829"/>
        <w:gridCol w:w="1046"/>
        <w:gridCol w:w="248"/>
        <w:gridCol w:w="798"/>
        <w:gridCol w:w="1046"/>
        <w:gridCol w:w="1046"/>
        <w:gridCol w:w="186"/>
        <w:gridCol w:w="865"/>
        <w:gridCol w:w="146"/>
        <w:gridCol w:w="146"/>
        <w:gridCol w:w="207"/>
        <w:gridCol w:w="966"/>
        <w:gridCol w:w="146"/>
        <w:gridCol w:w="146"/>
        <w:gridCol w:w="211"/>
        <w:gridCol w:w="781"/>
        <w:gridCol w:w="392"/>
      </w:tblGrid>
      <w:tr>
        <w:trPr/>
        <w:tc>
          <w:tcPr>
            <w:tcW w:w="18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 Value</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Issued</w:t>
              <w:br/>
              <w:t>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Seed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Seed-1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204,454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A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B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C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219,450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M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D-1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302,221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D-2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D-3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b/>
                <w:color w:val="000000"/>
                <w:sz w:val="20"/>
              </w:rPr>
            </w:pPr>
            <w:r>
              <w:rPr>
                <w:rFonts w:ascii="Times New Roman" w:hAnsi="Times New Roman"/>
                <w:b/>
                <w:color w:val="000000"/>
                <w:sz w:val="20"/>
              </w:rPr>
              <w:t>Total</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887,074</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summarizes the rights, preferences, and privileges of the Company’s redeemable convertible preferred stock preceding the Company’s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Liquidation Preference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Upon a liquidation, dissolution or winding up of the Company or any deemed liquidation event, out of the funds and assets of the Company available for distribution to its stockholders and in the order of the Series D Preferred Stock, Series C Preferred Stock, Series J Preferred Stock, Series B Preferred Stock, Series A Preferred Stock, Series Seed-1 Preferred Stock, Series Seed Preferred Stock and Series M Preferred Stock, each holder of the Series D Preferred Stock, Series C Preferred Stock and Series B Preferred Stock was entitled to receive an amount in cash equal to two times the original issue price for such shares plus accrued but unpaid dividends; each holder of the Series A Preferred Stock was entitled to receive an amount in cash equal to one and a half times the original issue price for such shares plus any declared but unpaid dividends; each holder of the Series Seed Preferred Stock and Series Seed-1 Preferred Stock was entitled to receive an amount in cash equal to the deemed issue price for such shares plus accrued but unpaid dividends; and each holder of the Series J Preferred Stock and Series M Preferred Stock was entitled to receive an amount in cash equal to the original issue price for such shares plus accrued but unpaid dividends.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deemed issue price of the Series Seed Preferred Stock and Series Seed-1 Preferred Stock was $1.4590 per share and $62.4715 per share, respectively. The original issue price of the Series Seed Preferred Stock, Series Seed-1 Preferred Stock, Series A Preferred Stock, Series B Preferred Stock, Series C Preferred Stock, Series D Preferred Stock, Series M Preferred Stock, and Series J Preferred Stock was $0.1281 per share, $6.2471 per share, $12.4888 per share, $12.7791 per share, $16.0640 per share, $16.9213 per share, $16.0640 per share, and $16.0640 per share, respectively.</w:t>
      </w:r>
    </w:p>
    <w:p>
      <w:pPr>
        <w:pStyle w:val="TextBody"/>
        <w:bidi w:val="0"/>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Out of assets of the Company legally available for dividends and in the same order as the order of the liquidation preference of each series of the Preferred Stock, except that the Series Seed-1 Preferred Stock and Series Seed Preferred Stock shall had the same priority in any dividend distribution, each holder of the Series D-1 Preferred Stock, Series D-2 Preferred Stock, Series D-3 Preferred Stock and Series C Preferred Stock was entitled to receive dividends accruing on a daily basis, whether or not declared by the Company, at the annual non-compounding rate of 12% of the original issue price per share; each holder of the Series Seed-1 Preferred Stock and Series Seed Preferred Stock was entitled to receive when, if and as declared by the Company’s Board of Directors non-cumulative and non-accruing dividends at the annual rate of 8% of the applicable deemed issue price per share; and each holder of the remaining series of the Preferred Stock was entitled to receive non-cumulative and non-accruing dividends at the annual rate of 8% of the applicable original issue price per share.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Preferred Stock dividends were payable when and if declared by the Company. After payment of the Preferred Stock dividends, any additional dividends would be distributed among all holders of the Preferred Stock and common stock according to the number of shares of common stock that would be held by each holder of the Preferred Stock if all their shares were converted into common stock at the then applicable conversion rate.</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10, 2025, the Company’s Board of Directors declared a dividend (the “Preferred Stock Dividend”) payable in shares of the Company's common stock in respect of all accrued and unpaid dividends on the Company’s outstanding shares of Series C, Series D-1, Series D-2, and Series D-3 Preferred Stock held as of July 11, 2025. The Company paid the Preferred Stock Dividend on July 16, 2025, upon receipt of consents that were required from certain third parties, and issued approximately 3.3 million shares of common stock to the then-existing holders of its Series C, Series D-1, Series D-2, and Series D-3 Preferred Stock.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Company’s Board of Directors declared a dividend (the “IPO Closing Preferred Stock Dividend”) payable in cash in respect of all unpaid dividends on the Company’s outstanding shares of Series C, Series D-1, Series D-2, and Series D-3 Preferred Stock that had accrued following July 11, 2025 through the conversion of such Preferred Stock into shares of common stock on August 8, 2025 in connection with the completion of the IPO. On August 28, 2025, the Company paid the IPO Closing Preferred Stock Dividend in an aggregate amount of $5.0 million in cash.</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Each holder of the Preferred Stock, except for the holder of the Series D-2 Preferred Stock was entitled to the number of votes equal to the number of whole shares of common stock into which the shares of the Preferred Stock held by such holder could be converted as of the record date on any matter presented to the Company’s stockholders for their action or consideration at any meeting. Additionally, if the Glow Investors, affiliates of AE Industrial Partners L.P. (“AE Industrial”) and its permitted transferees hold less than 50.1% of the votes represented by all outstanding shares of the Company’s equity as a result of certain stock options, the number of votes then held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by the Glow Investors shall be automatically adjusted such that the Glow Investors hold in the aggregate 50.1% of the votes represented by all outstanding shares of the Company’s equity.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Conversion Rights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Optional Conversion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Series Seed Preferred Stock and Series Seed-1 Preferred Stock were convertible into the number of shares of common stock determined by dividing the deemed issue price by the conversion price in effect. All other series of the Preferred Stock were convertible, at the option of the holder thereof, at any time after the date of issuance and from time to time, into such number of fully paid and nonassessable shares of Common Stock determined by, for the Preferred Stock other than the Series Seed Preferred Stock and Series Seed-1 Preferred Stock, into the number of shares of common stock determined by dividing the original issue price for the relevant series of the Preferred Stock by the conversion price in effect for such series of the Preferred Stock. Each share of Series D-2 Preferred Stock was convertible into one share of Series D-1 Preferred Stock. </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Mandatory Conversion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Upon the closing of a Qualified IPO or a SPAC Transaction (each as defined in the Company’s Amended and Restated Certificate of Incorporation) or (1) a majority vote of the holders of the outstanding shares of the Preferred Stock on an as-converted basis, (2) a majority vote of the holders of the outstanding shares of the Series C Preferred Stock, and (3) the Requisite Series D Preferred Approval (as defined in the Company’s Amended and Restated Certificate of Incorporation), all outstanding shares of the Preferred Stock would automatically convert into shares of common stock at the then-effective conversion rate for such share. The conversion prices and rates for each series of the Preferred Stock were the same in the event of a mandatory conversion as they would be in the event of an optional conversion.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Redemption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or after the fifth anniversary of their issuance, shares of the Series D Preferred Stock would have become redeemable at a price equal to the original issue price per share plus all unpaid dividends thereon, in three annual installments commencing not more than one-hundred eighty days after the Requisite Series D Preferred Approval (the “Series D Redemption Right”).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the prior satisfaction of the Series D Redemption Right, shares of the Series C Preferred Stock were entitled to the same redemption right on or after the fifth annual anniversary of the original issue date of the Series D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Preferred Stock was classified as mezzanine, or temporary, equity as the Preferred Stock was redeemable in the event of a deemed liquidation event. This event was not within the Company’s control as the Company’s Board of Directors was controlled by the holders of the Preferred Stock, and the Series D Preferred Stock and Series C Preferred Stock were also redeemable at the holder’s option after the fifth anniversary of the original issuance of the Series D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periods prior to the mandatory conversion of the Series C and Series D Preferred Stock, the Company accreted the Series D Preferred Stock and Series C Preferred Stock to their redemption value at each reporting date, which equaled to their original issue price plus the accrued but unpaid dividends, as they were probable of becoming redeemable under the redemption option at the holder’s option. The Company recognized the changes in redemption in the redemption value immediately as they occurred and adjusts the carrying value to equal to the current maximum redemption value at the end of each reporting period. During the three months ended March 31, 2025, the Company recorded accretion of $6.6 million and $5.6 million, respectively, related to the Series D Preferred Stock and Series C Preferred Stock, respectively. The accretion is recorded as an adjustment to the additional paid-in capital in the consolidated balance sheets. The Company recognizes all other series of Preferred Stock at their issuance price, net of issuance costs, and is not currently remeasuring these series of Preferred Stock as they were neither currently redeemable nor probable of becoming redeemable.</w:t>
      </w:r>
    </w:p>
    <w:p>
      <w:pPr>
        <w:pStyle w:val="TextBody"/>
        <w:bidi w:val="0"/>
        <w:jc w:val="both"/>
        <w:rPr>
          <w:rFonts w:ascii="Times New Roman" w:hAnsi="Times New Roman"/>
          <w:b/>
          <w:i/>
          <w:color w:val="000000"/>
          <w:sz w:val="20"/>
        </w:rPr>
      </w:pPr>
      <w:r>
        <w:rPr>
          <w:rFonts w:ascii="Times New Roman" w:hAnsi="Times New Roman"/>
          <w:b/>
          <w:i/>
          <w:color w:val="000000"/>
          <w:sz w:val="20"/>
        </w:rPr>
        <w:t>Warrants to Purchase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the issuance of the Series D-1 Preferred Stock at the Series D Initial Closing, the Company issued investors the Common Warrants to purchase an aggregate of 1.0 million shares of common stock with a ten-year term and exercise price of $0.91 per share (subject to certain adjustments). The Common Warrants were classified as derivative liabilities as they contained a change of control provision that could result in the holders receiving a settlement amount exceeding the fair value of the Common Warrants at the time of settlement and such provision could have also resulted in the Common Warrants being redeemed outside of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control. The Common Warrants were measured at fair value both initially and subsequently with changes in fair value recognized through earnings. The fair value of the Common Warrants was $1.3 million upon issuance, which created a discount on the Series D-1 Preferred Stock that discount was accreted to the redemption value of the Series D-1 Preferred Stock as part of the subsequent remeasurement of the Series D-1 Preferred Stock. In connection with the IPO on August 8, 2025, all Common Warrants were exercised into the Company’s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Tranche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the time of the Series D Initial Closing, the Company granted the RPM Investor (an investor in the Series D-1 Preferred Stock) the option but not obligation to purchase up to 1.8 million shares of Series D-1 Preferred Stock at a purchase price of $16.9213 per share (the “RPM Call Option”) at the final closing of the Series D Preferred Stock. On November 15, 2024, in connection with the Series D Second Closing, the number of the shares underlying the RPM Call Option was amended to 1.9 million shares.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at the time of the Series D Initial Closing, the Company and the Majority Sponsor, an affiliate of AE Industrial, agreed that, if the total amount of the Series D Preferred Stock purchased was less than $250.0 million within six months of the Series D Initial Closing, the Majority Sponsor would purchase additional Series D Preferred Stock to make their total investment equal to $125.0 million (the “Majority Sponsor Top-Up,” and together with the RPM Call Option, the “Tranche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2025, the Majority Sponsor Top-Up expired unexercised when the total amount of Series D Preferred Stock purchased by investors exceeded $250.0 million. On March 24, 2025, the RPM Call Option was terminated via amendment of the Series D Purchase Agreement. As a result, the Majority Sponsor Top-Up and RPM Call Option were derecognized from the unaudited condensed consolidated balance sheet, with all related amounts recognized in other income, net.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 Stock-Based Compensation</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2017 Equity Incentive Plans</w:t>
      </w:r>
    </w:p>
    <w:p>
      <w:pPr>
        <w:pStyle w:val="TextBody"/>
        <w:bidi w:val="0"/>
        <w:jc w:val="both"/>
        <w:rPr>
          <w:rFonts w:ascii="Times New Roman" w:hAnsi="Times New Roman"/>
          <w:color w:val="000000"/>
          <w:sz w:val="20"/>
        </w:rPr>
      </w:pPr>
      <w:r>
        <w:rPr>
          <w:rFonts w:ascii="Times New Roman" w:hAnsi="Times New Roman"/>
          <w:color w:val="000000"/>
          <w:sz w:val="20"/>
        </w:rPr>
        <w:t>In October 2017, the Company adopted and approved the 2017 Stock Plan (the “2017 Plan”) under which 3.1 million shares of the Company’s common stock were originally reserved for issuance to employees, directors, and consultants. Since its inception, the Company has periodically amended the 2017 Plan to increase the number of reserved shares. In 2023, the Company twice amended the 2017 Plan to increase the number of reserved shares to a total of approximately 26.7 million. In 2024, the Company twice amended the 2017 Plan to increase the number of reserved shares by an additional total 11.3 million shares for a total of approximately 38.1 million. Under the 2017 Plan, the Company may grant stock options, restricted stock awards ("RSAs”), and RSUs. Options granted under the Plan may be either incentive stock options (“ISOs”) or stock options (“NSOs”). ISOs may be granted only to Company employees (including officers and directors). Awards granted under the 2017 Plan generally vest based on service over various periods ranging from immediately to five years. Certain performance-based awards vest upon the occurrence of a qualified liquidity event (including a change in control or IPO), while some awards may accelerate vesting upon such an event. Options expire as determined by the Board of Directors but not more than ten years after the date of grant, unless the holder of an ISO owns more than 10% of the voting power in the Company, in which case the term cannot exceed five years. The Company had no shares of common stock available for issuance under the 2017 Plan, as of March 31, 2026.</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2024, the Company established a Performance-Based Incentive Compensation Plan (the “2024 Plan”) that allows for the issuance of stock options, RSAs, RSUs, and cash incentives to employees, directors, and consultants. The stock based awards granted under the 2024 Plan are governed in accordance with the 2017 Plan. The 2024 Plan also includes cash incentive opportunities tied to the achievement of specific performance goals. Subsequent to its adoption, all equity-based awards were issued under the 2024 Plan, and no further awards were granted under the 2017 Plan.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2025 Omnibus Incentive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July 2025, the Board of Directors adopted, and the Company's stockholders approved, the Firefly Aerospace Inc. 2025 Omnibus Incentive Plan (the “2025 Plan”). The 2025 Plan authorizes grants of stock options, stock appreciation rights, RSAs, RSUs, performance awards, other stock</w:t>
        <w:noBreakHyphen/>
        <w:t xml:space="preserve">based awards, cash awards, and substitute awards. The 2025 Plan reserves 24.1 million shares of common stock, subject to annual increases beginning January 1, 2026 equal to the lesser of (i) 3% of shares outstanding or (ii) a smaller amount determined by the Board of Directors. RSUs and restricted stock granted under the 2025 Plan vest based on service, performance conditions, or both, and unvested units are typically forfeited upon 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Compensation cost for employee stock-based awards is based on the estimated grant date fair value and is recognized over the vesting period of the applicable award on a straight-line basis for service-based awards with graded vesting.</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2025 Employee Stock Purchase Plan</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2025, the Board of Directors adopted, and the Company's shareholders approved, the 2025 Employee Stock Purchase Plan (the “ESPP”). The ESPP authorizes the issuance of shares of common stock pursuant to purchase rights granted to the Company's employees. The option purchase price will be designated by the ESPP administrator but will not be less than 85% of the fair market value of a share of the Company's common stock on the applicable enrollment date or the applicable exercise date, whichever is lower. A total of 3.2 million shares of the Company's common stock was initially reserved for issuance under the ESPP. In addition, the number of shares available for issuance under the ESPP will be increased annually on January 1 of each fiscal year beginning in 2026 by an amount equal to the lesser of (i) 1.0% of the shares outstanding on the last day of the immediately preceding fiscal year or (ii) a lesser amount determined by the Company's Board of Directors; provided, however, that no more than 3.2 million shares may be issued per year in total under the ESPP.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Subsequent to the IPO, the Company grants service-based RSUs to employees, all of which relate to the Company's common stock, under the 2025 Plan. RSUs generally expire four years from grant date. The service-based vesting condition for these awards is generally satisfied by rendering continuous service, generally for one to four years, during which time the grants will vest either with a cliff vesting period of one year and continued vesting quarterly thereafter or quarterly from the vesting commencement date. The fair value of RSUs is based on the closing market price of the Company’s common stock on the grant date. The Company records stock-based compensation expense related to RSUs on a straight-line basis over the requisite service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March 31, 2026, the Company granted RSUs to certain employees under the 2025 Plan. Each RSU represents the right to receive one share of the Company’s common stock upon vesting. The RSUs granted generally vest over the requisite service period specified in each award agreement. Unvested RSUs are forfeited upon termination of employment, unless otherwise provided under the award terms.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summary of the Company's RSU activity for the three months ended March 31, 2026 is presented below:</w:t>
      </w:r>
    </w:p>
    <w:tbl>
      <w:tblPr>
        <w:tblW w:w="7997" w:type="dxa"/>
        <w:jc w:val="left"/>
        <w:tblInd w:w="0" w:type="dxa"/>
        <w:tblLayout w:type="fixed"/>
        <w:tblCellMar>
          <w:top w:w="28" w:type="dxa"/>
          <w:left w:w="28" w:type="dxa"/>
          <w:bottom w:w="28" w:type="dxa"/>
          <w:right w:w="28" w:type="dxa"/>
        </w:tblCellMar>
      </w:tblPr>
      <w:tblGrid>
        <w:gridCol w:w="2986"/>
        <w:gridCol w:w="146"/>
        <w:gridCol w:w="146"/>
        <w:gridCol w:w="571"/>
        <w:gridCol w:w="166"/>
        <w:gridCol w:w="146"/>
        <w:gridCol w:w="982"/>
        <w:gridCol w:w="2663"/>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total fair value of RSUs vested during the three months ended March 31, 2026 was $0.3 million. Total unrecognized compensation cost related to unvested RSUs was $136.4 million, which is expected to be recognized over a weighted</w:t>
        <w:noBreakHyphen/>
        <w:t>average period of 3.3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stock option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1823"/>
        <w:gridCol w:w="146"/>
        <w:gridCol w:w="356"/>
        <w:gridCol w:w="1658"/>
        <w:gridCol w:w="166"/>
        <w:gridCol w:w="146"/>
        <w:gridCol w:w="737"/>
        <w:gridCol w:w="1633"/>
        <w:gridCol w:w="146"/>
        <w:gridCol w:w="146"/>
        <w:gridCol w:w="727"/>
        <w:gridCol w:w="2327"/>
        <w:gridCol w:w="194"/>
      </w:tblGrid>
      <w:tr>
        <w:trPr/>
        <w:tc>
          <w:tcPr>
            <w:tcW w:w="1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Contractual Term</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w:t>
            </w:r>
          </w:p>
        </w:tc>
        <w:tc>
          <w:tcPr>
            <w:tcW w:w="1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did not grant any employee stock options for the three months ended March 31, 2026. The weighted-average grant date fair value of employee stock options granted was $0.22 per share during the three months ended March 31, 2025. Unrecognized compensation expense related to stock options, which are expected to be recognized over a weighted-average period of 1.89 years and 3.2 years, was $1.7 million and $3.0 million as of March 31, 2026 and 2025, respectively. The aggregate intrinsic value of the options outstanding was $388.9 million and $0.6 million for the years ended March 31, 2026 and 2025, respectively. The aggregate intrinsic value of the options exercisable was $341.7 million and $0.3 million for the years ended March 31, 2026 and 2025, respectively. The Company received cash proceeds of $0.5 million and $0.4 million from the exercise of stock options during the years ended March 31, 2026, and 2025, respectively.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Determination of Fair Value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uses the Black-Scholes option pricing model to determine the fair value of stock options. The determination of the fair value of stock options on the date of grant is affected by the stock price as well as assumptions regarding several complex and subjective variables. These variables include expected stock price volatility over the term of the awards, actual and projected employee stock option exercise behaviors, risk-free interest rates, and expected dividends.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Expected Term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expected term represents the period that the stock-based awards are expected to be outstanding. The option grants qualify to be “plain vanilla”, and the Company used the simplified method to determine the expected term. The simplified method calculates the expected term as the average of the time-to-vesting and contractual life of the option.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Volatility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Since the Company has limited historical data regarding the volatility of its common stock, the expected volatility used is based on volatility of similar entities, referred to as “guideline” companies. In evaluating similarity, the Company considered factors such as industry, stage of life cycle and size.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Risk-Free Interest Rate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risk-free rate is based on U.S. Treasury issues with remaining terms similar to the expected term on the options.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Dividend Yield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never declared or paid any cash dividends and does not plan to pay cash dividends in the foreseeable future, and, therefore, used an expected dividend yield of zero in the valuation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stock-based compensation expense related to options and RSUs was allocated to research and development and general and administrative expense as follows:</w:t>
      </w:r>
    </w:p>
    <w:tbl>
      <w:tblPr>
        <w:tblW w:w="6743" w:type="dxa"/>
        <w:jc w:val="left"/>
        <w:tblInd w:w="0" w:type="dxa"/>
        <w:tblLayout w:type="fixed"/>
        <w:tblCellMar>
          <w:top w:w="28" w:type="dxa"/>
          <w:left w:w="28" w:type="dxa"/>
          <w:bottom w:w="28" w:type="dxa"/>
          <w:right w:w="28" w:type="dxa"/>
        </w:tblCellMar>
      </w:tblPr>
      <w:tblGrid>
        <w:gridCol w:w="2956"/>
        <w:gridCol w:w="146"/>
        <w:gridCol w:w="402"/>
        <w:gridCol w:w="1288"/>
        <w:gridCol w:w="278"/>
        <w:gridCol w:w="278"/>
        <w:gridCol w:w="402"/>
        <w:gridCol w:w="802"/>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8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12,512</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40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computes its provision for income taxes by applying the estimated annual effective tax rate to year-to-date income from recurring operations and adjusts the provision for discrete tax items recorded in the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$0.1 million of income tax expense for the three months ended March 31, 2026. The Company had no income tax expense for the three months ended March 31, 2025, which was primarily attributable to the valuation allowance established against U.S. federal and state deferred income tax assets.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Investments and Debts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transactions occurred between the Company and AE Industrial, which beneficially owned 36.68% of the Company's common stock outstanding as of March 31, 2026. Even though the Company is part of AE Industrial’s portfolio of companies, it is not a part of AE Industrial’s consolidated tax return and files its tax returns independently.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2025, AE Industrial purchased 0.3 million shares of the Series D-1 Preferred Stock for an aggregate purchase price of $5.0 million. During the three months ended March 31, 2026, there were no such purchases by AE Industrial.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Payable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entered into an Amended and Restated Consulting Agreement (the “Consulting Agreement”) with AE Industrial Operating Partners, LLC (“AE Operating”), an affiliate of AE Industrial. Under the Consulting Agreement, the Company will pay AE Operating an annual fee of approximately $2.4 million for consulting and advisory services until the earlier of August 8, 2027, or the time AE Industrial beneficially owns less than 10% of the Company’s outstanding common stock. Expenses recorded under this agreement for the three months ended March 31, 2026 were $0.5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AE Operating, G.S. Precision and Redwire Corporation are also related parties of the Company, as these entities are part of AE Industrial’s investment portfolio and share a common board of directors.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is a summary of the Company’s related party accounts payable and accrued expenses as of March 31, 2026 and December 31, 2025, and related party research and development and selling, general, and administrative expenses:</w:t>
      </w:r>
    </w:p>
    <w:tbl>
      <w:tblPr>
        <w:tblW w:w="6600" w:type="dxa"/>
        <w:jc w:val="left"/>
        <w:tblInd w:w="0" w:type="dxa"/>
        <w:tblLayout w:type="fixed"/>
        <w:tblCellMar>
          <w:top w:w="28" w:type="dxa"/>
          <w:left w:w="28" w:type="dxa"/>
          <w:bottom w:w="28" w:type="dxa"/>
          <w:right w:w="28" w:type="dxa"/>
        </w:tblCellMar>
      </w:tblPr>
      <w:tblGrid>
        <w:gridCol w:w="3436"/>
        <w:gridCol w:w="346"/>
        <w:gridCol w:w="324"/>
        <w:gridCol w:w="651"/>
        <w:gridCol w:w="146"/>
        <w:gridCol w:w="146"/>
        <w:gridCol w:w="419"/>
        <w:gridCol w:w="841"/>
        <w:gridCol w:w="291"/>
      </w:tblGrid>
      <w:tr>
        <w:trPr/>
        <w:tc>
          <w:tcPr>
            <w:tcW w:w="3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Operating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jc w:val="both"/>
        <w:rPr/>
      </w:pPr>
      <w:r>
        <w:rPr/>
        <w:t> </w:t>
      </w:r>
    </w:p>
    <w:tbl>
      <w:tblPr>
        <w:tblW w:w="6116" w:type="dxa"/>
        <w:jc w:val="left"/>
        <w:tblInd w:w="0" w:type="dxa"/>
        <w:tblLayout w:type="fixed"/>
        <w:tblCellMar>
          <w:top w:w="28" w:type="dxa"/>
          <w:left w:w="28" w:type="dxa"/>
          <w:bottom w:w="28" w:type="dxa"/>
          <w:right w:w="28" w:type="dxa"/>
        </w:tblCellMar>
      </w:tblPr>
      <w:tblGrid>
        <w:gridCol w:w="2031"/>
        <w:gridCol w:w="346"/>
        <w:gridCol w:w="426"/>
        <w:gridCol w:w="1155"/>
        <w:gridCol w:w="295"/>
        <w:gridCol w:w="295"/>
        <w:gridCol w:w="426"/>
        <w:gridCol w:w="851"/>
        <w:gridCol w:w="2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Operating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normal course of business, the Company engages in transactions with certain vendors and customers where AE Industrial maintains a significant ownership interest and/or can exhibit significant influence on the operations of such parties. For the three months ended March 31, 2026, transactions with other companies in AE Industrial’s investment portfolio were not material to the Company’s unaudited condensed consolidated financial statements.</w:t>
      </w:r>
    </w:p>
    <w:p>
      <w:pPr>
        <w:pStyle w:val="TextBody"/>
        <w:bidi w:val="0"/>
        <w:jc w:val="both"/>
        <w:rPr>
          <w:rFonts w:ascii="Times New Roman" w:hAnsi="Times New Roman"/>
          <w:sz w:val="20"/>
        </w:rPr>
      </w:pPr>
      <w:r>
        <w:rPr>
          <w:rFonts w:ascii="Times New Roman" w:hAnsi="Times New Roman"/>
          <w:b/>
          <w:color w:val="000000"/>
          <w:sz w:val="20"/>
        </w:rPr>
        <w:t>17. Net Loss Per Share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is computed by dividing net loss attributable to common stockholders by the weighted average number of common shares outstanding during each period.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Diluted net loss per share is computed by dividing net loss attributable to common stockholders by the weighted average number of fully dilutive common shares outstanding for the period using the treasury-stock method, the if-converted method, or two-class method for participating securities, whichever is more dilutive. Potentially dilutive shares are comprised of common stock warrants, RSUs, convertible notes and stock options. For the three months ended March 31, 2026 and 2025, there was no difference in the number of shares used to calculate basic and diluted shares outstanding due to the Company’s net loss and potentially dilutive shares being anti-dilutive. The Company has determined that all series of Preferred Stock are participating securities under the two-class method, however, holders of the Preferred Stock are not required to fund losses. Dividends have been accreted for the Company’s outstanding shares of Series C, Series D-1 and Series D-3 Preferred Stock (refer to </w:t>
      </w:r>
      <w:r>
        <w:rPr>
          <w:rFonts w:ascii="Times New Roman" w:hAnsi="Times New Roman"/>
          <w:b/>
          <w:color w:val="000000"/>
          <w:sz w:val="20"/>
        </w:rPr>
        <w:t>Note 13. Stockholders’ Equity and Redeemable Convertible Preferred Stock</w:t>
      </w:r>
      <w:r>
        <w:rPr>
          <w:rFonts w:ascii="Times New Roman" w:hAnsi="Times New Roman"/>
          <w:color w:val="000000"/>
          <w:sz w:val="20"/>
        </w:rPr>
        <w:t xml:space="preserve"> for further detail).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8759" w:type="dxa"/>
        <w:jc w:val="left"/>
        <w:tblInd w:w="0" w:type="dxa"/>
        <w:tblLayout w:type="fixed"/>
        <w:tblCellMar>
          <w:top w:w="28" w:type="dxa"/>
          <w:left w:w="28" w:type="dxa"/>
          <w:bottom w:w="28" w:type="dxa"/>
          <w:right w:w="28" w:type="dxa"/>
        </w:tblCellMar>
      </w:tblPr>
      <w:tblGrid>
        <w:gridCol w:w="6151"/>
        <w:gridCol w:w="146"/>
        <w:gridCol w:w="211"/>
        <w:gridCol w:w="781"/>
        <w:gridCol w:w="166"/>
        <w:gridCol w:w="146"/>
        <w:gridCol w:w="211"/>
        <w:gridCol w:w="736"/>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summary of the total number of securities excluded from diluted net loss per share that could be potentially dilutive in the future is as follows:</w:t>
      </w:r>
    </w:p>
    <w:tbl>
      <w:tblPr>
        <w:tblW w:w="5769" w:type="dxa"/>
        <w:jc w:val="left"/>
        <w:tblInd w:w="0" w:type="dxa"/>
        <w:tblLayout w:type="fixed"/>
        <w:tblCellMar>
          <w:top w:w="28" w:type="dxa"/>
          <w:left w:w="28" w:type="dxa"/>
          <w:bottom w:w="28" w:type="dxa"/>
          <w:right w:w="28" w:type="dxa"/>
        </w:tblCellMar>
      </w:tblPr>
      <w:tblGrid>
        <w:gridCol w:w="3496"/>
        <w:gridCol w:w="146"/>
        <w:gridCol w:w="146"/>
        <w:gridCol w:w="676"/>
        <w:gridCol w:w="146"/>
        <w:gridCol w:w="146"/>
        <w:gridCol w:w="146"/>
        <w:gridCol w:w="67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M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65,363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18. Segment and Geographical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determined that it operates in one operating segment and as a result, manages its operations and allocates resources as a single operating segment. 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In the first quarter of fiscal 2026, the Company refined its segment reporting to better reflect how the CODM evaluates segment performance. Prior period segment results have been recast to conform to the current period presentation.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includes the significant expense categories and amounts that are regularly provided to the CODM:</w:t>
      </w:r>
    </w:p>
    <w:tbl>
      <w:tblPr>
        <w:tblW w:w="7921" w:type="dxa"/>
        <w:jc w:val="left"/>
        <w:tblInd w:w="0" w:type="dxa"/>
        <w:tblLayout w:type="fixed"/>
        <w:tblCellMar>
          <w:top w:w="28" w:type="dxa"/>
          <w:left w:w="28" w:type="dxa"/>
          <w:bottom w:w="28" w:type="dxa"/>
          <w:right w:w="28" w:type="dxa"/>
        </w:tblCellMar>
      </w:tblPr>
      <w:tblGrid>
        <w:gridCol w:w="3816"/>
        <w:gridCol w:w="346"/>
        <w:gridCol w:w="279"/>
        <w:gridCol w:w="974"/>
        <w:gridCol w:w="484"/>
        <w:gridCol w:w="458"/>
        <w:gridCol w:w="279"/>
        <w:gridCol w:w="974"/>
        <w:gridCol w:w="311"/>
      </w:tblGrid>
      <w:tr>
        <w:trPr/>
        <w:tc>
          <w:tcPr>
            <w:tcW w:w="3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(Recast)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80,879</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(12,512</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(61,625</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Selling, general, and administrative</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(26,934</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One-time costs related to the IPO</w:t>
            </w:r>
            <w:r>
              <w:rPr>
                <w:rFonts w:ascii="Times New Roman" w:hAnsi="Times New Roman"/>
                <w:color w:val="000000"/>
                <w:sz w:val="13"/>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(expense) income, net</w:t>
            </w:r>
            <w:r>
              <w:rPr>
                <w:rFonts w:ascii="Times New Roman" w:hAnsi="Times New Roman"/>
                <w:color w:val="000000"/>
                <w:sz w:val="13"/>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Consolidated net loss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(96,676</w:t>
            </w:r>
          </w:p>
        </w:tc>
        <w:tc>
          <w:tcPr>
            <w:tcW w:w="484"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(60,093</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Depreciation and amortization excludes the amortization of acquired intangibles, which is presented separately.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 Cost of sales excludes depreciation and amortization, and interest expense, which are presented separately.</w:t>
      </w:r>
    </w:p>
    <w:p>
      <w:pPr>
        <w:pStyle w:val="TextBody"/>
        <w:bidi w:val="0"/>
        <w:spacing w:before="120" w:after="283"/>
        <w:jc w:val="both"/>
        <w:rPr>
          <w:rFonts w:ascii="Times New Roman" w:hAnsi="Times New Roman"/>
          <w:sz w:val="20"/>
        </w:rPr>
      </w:pPr>
      <w:r>
        <w:rPr>
          <w:rFonts w:ascii="Times New Roman" w:hAnsi="Times New Roman"/>
          <w:color w:val="000000"/>
          <w:sz w:val="16"/>
        </w:rPr>
        <w:t>(3)</w:t>
      </w:r>
      <w:r>
        <w:rPr>
          <w:rFonts w:ascii="Times New Roman" w:hAnsi="Times New Roman"/>
          <w:color w:val="000000"/>
          <w:sz w:val="20"/>
        </w:rPr>
        <w:t xml:space="preserve"> </w:t>
      </w:r>
      <w:r>
        <w:rPr>
          <w:rFonts w:ascii="Times New Roman" w:hAnsi="Times New Roman"/>
          <w:color w:val="000000"/>
          <w:sz w:val="16"/>
        </w:rPr>
        <w:t>Research and development excludes depreciation and amortization, and stock-based compensation expense, which are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 Selling, general, and administrative excludes depreciation and amortization, amortization of acquired intangibles, stock-based compensation expense, one-time costs related to the IPO, and transaction-related expenses, which are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 Other (expense) income, net, excludes interest income, interest expense, change in fair value of warrant liability, and gain on settlement of contingent liabilities, which are presented separately.</w:t>
      </w:r>
    </w:p>
    <w:p>
      <w:pPr>
        <w:pStyle w:val="TextBody"/>
        <w:bidi w:val="0"/>
        <w:spacing w:before="120" w:after="200"/>
        <w:jc w:val="both"/>
        <w:rPr>
          <w:rFonts w:ascii="Times New Roman" w:hAnsi="Times New Roman"/>
          <w:color w:val="000000"/>
          <w:sz w:val="16"/>
        </w:rPr>
      </w:pPr>
      <w:r>
        <w:rPr>
          <w:rFonts w:ascii="Times New Roman" w:hAnsi="Times New Roman"/>
          <w:color w:val="000000"/>
          <w:sz w:val="16"/>
        </w:rPr>
        <w:t>(6)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jc w:val="both"/>
        <w:rPr>
          <w:rFonts w:ascii="Times New Roman" w:hAnsi="Times New Roman"/>
          <w:sz w:val="20"/>
        </w:rPr>
      </w:pPr>
      <w:r>
        <w:rPr>
          <w:rFonts w:ascii="Times New Roman" w:hAnsi="Times New Roman"/>
          <w:color w:val="000000"/>
          <w:sz w:val="20"/>
        </w:rPr>
        <w:t>The measure of segment assets,</w:t>
      </w:r>
      <w:r>
        <w:rPr>
          <w:rFonts w:ascii="Times New Roman" w:hAnsi="Times New Roman"/>
          <w:color w:val="373535"/>
          <w:sz w:val="20"/>
        </w:rPr>
        <w:t xml:space="preserve"> </w:t>
      </w:r>
      <w:r>
        <w:rPr>
          <w:rFonts w:ascii="Times New Roman" w:hAnsi="Times New Roman"/>
          <w:color w:val="000000"/>
          <w:sz w:val="20"/>
        </w:rPr>
        <w:t>including goodwill, is reported on the unaudited condensed consolidated balance sheets as total consolidated assets. Assets provided to the CODM are consistent with those reported on the unaudited condensed consolidated balance sheets with particular emphasis on the Company’s available liquidity, including its cash, cash equivalents, and short-term investments, and there are no other significant segment assets that would require disclosure or are regularly provided to the CODM.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did not recognize revenue or hold material property and equipment outside of the United States for the three months ended March 31, 2026 and 2025, and as of March 31, 2026 and December 31, 2025, respectively.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Second Amendment to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3, 2026, the Company amended its credit agreement. The amendment, among other things, increased the commitments under the Revolving Credit Facility by $45.0 million for an aggregate principal amount of $305.0 million. The amendment also increased the interest spread applicable to the loan under the Revolving Credit Facility by 0.25%. After giving effect to the amendment, the loans under the Revolving Credit Facility bear interest at a variable rate per annum equal to, at the Company’s option, either (a) term SOFR plus a 3.25% spread or (b) an alternative base rate (as set forth in the credit agreement) plus a 2.25% spread. In addition, the Amendment removed the minimum free cash flow maintenance covenant and adjusted the minimum liquidity maintenance covenant to require $381.3 million of minimum liquidity, tested as of the last day of each calendar month (commencing with the calendar month ending April 30, 2026). In connection with the amendment, the Company incurred $1.0 million in debt issuance costs.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evaluated subsequent events from March 31, 2026 through the date the financial statements were available to be issued and has determined there are no other subsequent events that require disclosure or recognition in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231F20"/>
          <w:sz w:val="20"/>
        </w:rPr>
      </w:pPr>
      <w:bookmarkStart w:id="11" w:name="partii_mda"/>
      <w:bookmarkEnd w:id="11"/>
      <w:r>
        <w:rPr>
          <w:rFonts w:ascii="Times New Roman" w:hAnsi="Times New Roman"/>
          <w:b/>
          <w:color w:val="231F2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The following is a discussion and analysis of our financial condition and results of operations as of, and for, the periods presented. The following discussion and analysis of our financial condition and result of operations should be read in conjunction with the sections entitled “Risk Factors</w:t>
      </w:r>
      <w:r>
        <w:rPr>
          <w:rFonts w:ascii="Times New Roman" w:hAnsi="Times New Roman"/>
          <w:color w:val="000000"/>
          <w:sz w:val="20"/>
        </w:rPr>
        <w:t>”</w:t>
      </w:r>
      <w:r>
        <w:rPr>
          <w:rFonts w:ascii="Times New Roman" w:hAnsi="Times New Roman"/>
          <w:i/>
          <w:color w:val="000000"/>
          <w:sz w:val="20"/>
        </w:rPr>
        <w:t>, “Cautionary Note 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with the unaudited condensed consolidated financial statements and accompanying notes included in this Quarterly Report on Form 10-Q. Certain information contained in this discussion and analysis includes forward-looking statements, including statements regarding our expectations for the future of our business and our liquidity and capital resources as well as other non-historical statements. These statements are based upon our current plans, expectations, and beliefs, and are subject to numerous risks and uncertainties, including those described in the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section of our Annual Report on Form 10-K</w:t>
      </w:r>
      <w:r>
        <w:rPr>
          <w:rFonts w:ascii="Times New Roman" w:hAnsi="Times New Roman"/>
          <w:color w:val="000000"/>
          <w:sz w:val="20"/>
        </w:rPr>
        <w:t xml:space="preserve"> </w:t>
      </w:r>
      <w:r>
        <w:rPr>
          <w:rFonts w:ascii="Times New Roman" w:hAnsi="Times New Roman"/>
          <w:i/>
          <w:color w:val="000000"/>
          <w:sz w:val="20"/>
        </w:rPr>
        <w:t xml:space="preserve">and the </w:t>
      </w:r>
      <w:r>
        <w:rPr>
          <w:rFonts w:ascii="Times New Roman" w:hAnsi="Times New Roman"/>
          <w:color w:val="000000"/>
          <w:sz w:val="20"/>
        </w:rPr>
        <w:t>“</w:t>
      </w:r>
      <w:r>
        <w:rPr>
          <w:rFonts w:ascii="Times New Roman" w:hAnsi="Times New Roman"/>
          <w:i/>
          <w:color w:val="000000"/>
          <w:sz w:val="20"/>
        </w:rPr>
        <w:t>Cautionary Note Regarding Forward-Looking Statements</w:t>
      </w:r>
      <w:r>
        <w:rPr>
          <w:rFonts w:ascii="Times New Roman" w:hAnsi="Times New Roman"/>
          <w:color w:val="000000"/>
          <w:sz w:val="20"/>
        </w:rPr>
        <w:t xml:space="preserve">” </w:t>
      </w:r>
      <w:r>
        <w:rPr>
          <w:rFonts w:ascii="Times New Roman" w:hAnsi="Times New Roman"/>
          <w:i/>
          <w:color w:val="000000"/>
          <w:sz w:val="20"/>
        </w:rPr>
        <w:t>sections of this Quarterly Report on Form 10-Q. Our actual results may differ materially from those contained in or implied by these forward-looking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company is a market-leading space and defense technology company providing comprehensive mission solutions to national security, government, and commercial customers with an established track record of success. Our mission is to reliably and repeatedly launch, land, and operate space systems from Earth to the Moon and beyond. Backed by our world-class team and proven technology, we have designed, developed, and deployed our class-leading launch vehicles and dynamic spacecraft solutions, to support critical customer missions across the space domain. We operate as a single reportable segment and serve this critical domain through our differentiated and scalable platforms of Launch and Spacecraft Solutions. Our offerings include:</w:t>
      </w:r>
    </w:p>
    <w:p>
      <w:pPr>
        <w:pStyle w:val="TextBody"/>
        <w:bidi w:val="0"/>
        <w:spacing w:before="200" w:after="200"/>
        <w:jc w:val="both"/>
        <w:rPr>
          <w:rFonts w:ascii="Times New Roman" w:hAnsi="Times New Roman"/>
          <w:sz w:val="20"/>
        </w:rPr>
      </w:pPr>
      <w:r>
        <w:rPr>
          <w:rFonts w:ascii="Times New Roman" w:hAnsi="Times New Roman"/>
          <w:b/>
          <w:color w:val="000000"/>
          <w:sz w:val="20"/>
        </w:rPr>
        <w:t>Launch:</w:t>
      </w:r>
      <w:r>
        <w:rPr>
          <w:rFonts w:ascii="Times New Roman" w:hAnsi="Times New Roman"/>
          <w:color w:val="000000"/>
          <w:sz w:val="20"/>
        </w:rPr>
        <w:t xml:space="preserve"> Our launch vehicles provide dedicated and responsive launch capabilities for national security, government, and commercial customers. We are the only U.S. company with a liquid-powered orbital launch vehicle in the 1,000-kilogram payload class. 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those in traditional rocket engines. We have utilized this proprietary technology to develop and test all our rocket engines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launch pad operations from Vandenberg Space Force Base to add Virginia’s Mid-Atlantic Regional Spaceport on Wallops Island and the Esrange Space Center in Sweden to support more missions, customers, and additional launch cadence opportunities. Built in collaboration with the SSC Space, the launch pad in Sweden will be our first expansion outside the U.S. and an initial step in our international market strategy. Sweden represents a proving ground for expansion of Alpha production and operations to U.S. allied nations – such as the United Kingdom, Japan, South Korea, Australia, and additional opportunities in Europe and the Middle East – as we look to serve global market demand for a sovereign-led franchise business model. </w:t>
      </w:r>
    </w:p>
    <w:p>
      <w:pPr>
        <w:pStyle w:val="TextBody"/>
        <w:bidi w:val="0"/>
        <w:jc w:val="both"/>
        <w:rPr>
          <w:rFonts w:ascii="Times New Roman" w:hAnsi="Times New Roman"/>
          <w:color w:val="000000"/>
          <w:sz w:val="20"/>
        </w:rPr>
      </w:pPr>
      <w:r>
        <w:rPr>
          <w:rFonts w:ascii="Times New Roman" w:hAnsi="Times New Roman"/>
          <w:color w:val="000000"/>
          <w:sz w:val="20"/>
        </w:rPr>
        <w:t xml:space="preserve">Eclipse is powered by eight Firefly-developed engines: seven first-stage Miranda engines and one second-stage Vira engine. The Miranda engine is built using the same engine architecture and patented tap-off cycle as the Reaver engine, while the Vira engine is based on Alpha’s second-stage vacuum-optimized Lightning engine. These common technologies are facilitating the fast, cost-efficient, and reliable development of Eclipse. Eclipse is being built to serve national security, commercial, and international launch markets at competitive pricing. Eclipse’s first stage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and Eclipse is designed to be compatible with additional launch ranges on the east and west coasts of the United States. </w:t>
      </w:r>
    </w:p>
    <w:p>
      <w:pPr>
        <w:pStyle w:val="TextBody"/>
        <w:bidi w:val="0"/>
        <w:spacing w:before="200" w:after="283"/>
        <w:jc w:val="both"/>
        <w:rPr>
          <w:rFonts w:ascii="Times New Roman" w:hAnsi="Times New Roman"/>
          <w:sz w:val="20"/>
        </w:rPr>
      </w:pPr>
      <w:r>
        <w:rPr>
          <w:rFonts w:ascii="Times New Roman" w:hAnsi="Times New Roman"/>
          <w:b/>
          <w:color w:val="000000"/>
          <w:sz w:val="20"/>
        </w:rPr>
        <w:t>Spacecraft Solutions:</w:t>
      </w:r>
      <w:r>
        <w:rPr>
          <w:rFonts w:ascii="Times New Roman" w:hAnsi="Times New Roman"/>
          <w:color w:val="000000"/>
          <w:sz w:val="20"/>
        </w:rPr>
        <w:t xml:space="preserve"> Firefly is the only company to achieve a fully successful Moon landing, completing 100% of our mission objectives set out before launch. Following Blue Ghost Mission 1, we have a total of three additional missions under NASA CLPS task orders. We expect our Blue Ghost lander to fly regular missions to the Moon, with payload services customized to the technology and exploration goals of our customers. Offering ride-share opportunities and dedicated missions, Blue Ghost is built to host and deliver payloads nearly anywhere on the lunar surface and other planetary bodies. Blue Ghost Mission 2 is expected to land on the far side of the Moon and conduct at least 10 days of lunar surface operations with the Blue Ghost lander, with an Elytra spacecraft supporting as a communications relay. This Elytra spacecraft is expected to remain operational in lunar orbit for up to five years. Blue Ghost Mission 2 is fully manifested with both NASA and commercial payloads, including a commercial rover and a ride-sharing international satellite. Blue Ghost Mission 3 will deliver NASA and commercial payloads to the Gruithuisen Domes and we have selected Blue Origin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partner to develop a rover to be delivered to the lunar surface. Blue Ghost Mission 4 was awarded in July 2025 by NASA and will land at the Moon’s south pole region.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Elytra is a dynamic spacecraft that is highly maneuverable and extensible to perform hundreds of rendezvous proximity operations in support of space domain awareness and warfighting missions, long-range communications relay missions, on-orbit edge processing missions, and advanced Space Exploration missions. A constellation of Elytra is expected to power a future long-haul communications relay for multiple customers. Blue Ghost and Elytra are highly complementary and compatible technologies that share a common core. Most of Elytra’s core hardware and software were proven at a variety of orbits through Blue Ghost’s successful Mission 1. As part of our end-to-end space services, Elytra offers robust on-orbit solutions and responsive defense capabilities when and where customers need them. Elytra is currently contracted to perform a responsive on-orbit mission in support of the U.S. Department of War’s (the “DoW”) Defense Innovation Unit (“DIU”). During this mission, Elytra will serve as a space maneuver vehicle to perform a series of on-orbit tasks including space domain awareness operations in Low Earth Orbit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October 31, 2025, we closed the acquisition of SciTec, which bolsters Spacecraft Solutions hardware with AI-enabled defense software proven in operations for missile warning and defense, intelligence, surveillance and reconnaissance, space domain awareness, remote sensing and analysis, and autonomous command and control. SciTec's big data processing for national security and commercial customers includes cloud-based, on-premise, and edge processing of high-volume data at rate from satellites across all orbits to enable rapid decision making for warfighters, supports defense applications, and unlocks new service categories for commercial and government deep space missions. More broadly, SciTec's support of national security programs advances U.S. and allied defense capabilities, including Golden Dome, with a full suite of hardware and software for space-based interceptor missions, hypersonic test missions, and space domain awareness missions.</w:t>
      </w:r>
    </w:p>
    <w:p>
      <w:pPr>
        <w:pStyle w:val="TextBody"/>
        <w:bidi w:val="0"/>
        <w:jc w:val="both"/>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Our track record of success and our reputation as a trusted provider for our customers results in a highly attractive, diversified business model defined by significant backlog and cash flow visibility. Strong customer demand backs our financial profile with approximately $1.3 billion in backlog and multi-launch agreements across our product lines as of March 31, 2026.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firm-fixed-price contracts. We are ahead of the curve as the industry shifts in favor of firm-fixed-price contracts and are well-positioned to capitalize on this change. The addition of SciTec further diversified our customer base and added a mixture of cost-plus and firm-fixed-price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the space market continues to grow and evolve, we are well positioned to serve our customers’ most complex missions with rapid response times and purpose-built solutions. Our collaborations with leading national security agencies and aerospace companies, such as Lockheed Martin Corporation, Northrop Grumman, L3Harris, the U.S. Space Force, Space Development Agency, National Reconnaissance Office, and NASA demonstrate the value and criticality of our new space defense and technology leadership in this market. </w:t>
      </w:r>
    </w:p>
    <w:p>
      <w:pPr>
        <w:pStyle w:val="TextBody"/>
        <w:bidi w:val="0"/>
        <w:spacing w:before="200" w:after="283"/>
        <w:jc w:val="both"/>
        <w:rPr>
          <w:rFonts w:ascii="Times New Roman" w:hAnsi="Times New Roman"/>
          <w:sz w:val="20"/>
        </w:rPr>
      </w:pPr>
      <w:r>
        <w:rPr>
          <w:rFonts w:ascii="Times New Roman" w:hAnsi="Times New Roman"/>
          <w:b/>
          <w:color w:val="000000"/>
          <w:sz w:val="20"/>
        </w:rPr>
        <w:t>Operations</w:t>
      </w:r>
      <w:r>
        <w:rPr>
          <w:rFonts w:ascii="Times New Roman" w:hAnsi="Times New Roman"/>
          <w:color w:val="000000"/>
          <w:sz w:val="20"/>
        </w:rPr>
        <w:t xml:space="preserve">: We strategically deploy capital to build state-of-the-art infrastructure to design, produce, test, and manufacture our products to the highest standard at a regular cadence. Our four primary facilities – Nexus corporate headquarters, Hive and Cortex spacecraft facilities, and Rocket Ranch manufacturing and testing site–are only 25 miles apart, providing unique proximity between design, manufacturing, and production. The proximity of our core facilities enables agile and rapid vehicle development and production at lower cost versus competitors.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purpose-built research and development, manufacturing, and testing footprint is the product of significant investments and the backbone of our manufacturing process. We designed our advanced manufacturing process through years of optimization that now allow us to replicate our additional facilities with significantly less capital outlay. Each of our launch sites were chosen intentionally to enhance flexibility for our customers. Our early investment in cutting-edge technology and best-in-class facilities is a competitive advantage, creating a platform primed for continued growth. The acquisition of SciTec added data centers, modeling and simulation labs, mission operations centers, and classified infrastructure with six locations strategically positioned near key space and defense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we scale, we have and expect to continue to replicate our proprietary manufacturing and testing processes, resulting in reduced cycle times and further capital efficiency.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we have deep, long-term relationships with our key suppliers. By maintaining a vertically-integrated manufacturing process, we are less reliant on the timelines of outside suppliers and reduce risk within our supply chain.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full suite of manufacturing capabilities is supplemented by multiple launch sites, both active and under development, which will continue to enhance flexibility and responsiveness for our missions. We are currently launching from the Vandenberg Space Force Base launch site in California. Launch sites are under construction at Virginia’s Mid-Atlantic Regional Spaceport on Wallops Island and the Esrange Space Center in Sweden, and we are pursuing additional opportunities to unlock future launch pad capacity. Our significant scale and unique blueprint are strategically planned to support our increasing launch cadence as we grow.</w:t>
      </w:r>
    </w:p>
    <w:p>
      <w:pPr>
        <w:pStyle w:val="TextBody"/>
        <w:bidi w:val="0"/>
        <w:spacing w:before="200" w:after="200"/>
        <w:jc w:val="both"/>
        <w:rPr>
          <w:rFonts w:ascii="Times New Roman" w:hAnsi="Times New Roman"/>
          <w:sz w:val="20"/>
        </w:rPr>
      </w:pPr>
      <w:r>
        <w:rPr>
          <w:rFonts w:ascii="Times New Roman" w:hAnsi="Times New Roman"/>
          <w:b/>
          <w:i/>
          <w:color w:val="000000"/>
          <w:sz w:val="20"/>
        </w:rPr>
        <w:t>Backlog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growth in backlog as a key measure of our business growth. Backlog represents our estimate of the revenue we expect to realize in future periods as a result of performing work on contracts that have been awarded to us, net of any revenue already recognized. We include the aggregate expected revenue of awarded contracts in our backlog upon the execution of a legally binding agreement, even though our contracts include certain termination rights exercisable by our customers with advance notice. Deferred revenue recognized on our consolidated balance sheets consists of payments and billings that we have received in excess of revenue that we have recognized. Because cash receipts from these contracts have not been recognized into revenue, they are included in our backlog calculation.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backlog as a key measure of our future business prospects. We monitor our backlog because we believe it is a forward-looking indicator of potential sales which can be helpful to investors in evaluating the performance of our business and identifying trends over time. Although backlog reflects business associated with contracts that are considered to be firm, terminations, amendments, or contract cancellations may occur, which could result in a reduction in our total backlog and potential future revenue that never gets recognized.</w:t>
      </w:r>
    </w:p>
    <w:tbl>
      <w:tblPr>
        <w:tblW w:w="4472" w:type="dxa"/>
        <w:jc w:val="left"/>
        <w:tblInd w:w="0" w:type="dxa"/>
        <w:tblLayout w:type="fixed"/>
        <w:tblCellMar>
          <w:top w:w="28" w:type="dxa"/>
          <w:left w:w="28" w:type="dxa"/>
          <w:bottom w:w="28" w:type="dxa"/>
          <w:right w:w="28" w:type="dxa"/>
        </w:tblCellMar>
      </w:tblPr>
      <w:tblGrid>
        <w:gridCol w:w="1441"/>
        <w:gridCol w:w="146"/>
        <w:gridCol w:w="211"/>
        <w:gridCol w:w="931"/>
        <w:gridCol w:w="146"/>
        <w:gridCol w:w="146"/>
        <w:gridCol w:w="232"/>
        <w:gridCol w:w="1028"/>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amounts relate to executed multi-launch agreements where the missions have not yet been scheduled as of the backlog date. These amounts are included as part of the total backlog.</w:t>
      </w:r>
    </w:p>
    <w:tbl>
      <w:tblPr>
        <w:tblW w:w="5672" w:type="dxa"/>
        <w:jc w:val="left"/>
        <w:tblInd w:w="0" w:type="dxa"/>
        <w:tblLayout w:type="fixed"/>
        <w:tblCellMar>
          <w:top w:w="28" w:type="dxa"/>
          <w:left w:w="28" w:type="dxa"/>
          <w:bottom w:w="28" w:type="dxa"/>
          <w:right w:w="28" w:type="dxa"/>
        </w:tblCellMar>
      </w:tblPr>
      <w:tblGrid>
        <w:gridCol w:w="2791"/>
        <w:gridCol w:w="146"/>
        <w:gridCol w:w="211"/>
        <w:gridCol w:w="781"/>
        <w:gridCol w:w="146"/>
        <w:gridCol w:w="146"/>
        <w:gridCol w:w="268"/>
        <w:gridCol w:w="992"/>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Multi-launch agreement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Trends and Key Factors Affecting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Macroeconomic Pressures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recent years, geopolitical instability, including wars and conflicts, as well as impacts from other global events, have resulted in opportunities for companies in the space and defense technology market. However,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Since early 2025, the U.S. administration announced the imposition of tariffs on substantially all countries that trade with the United States. As the implementation of tariffs is ongoing, more tariffs may be added in the future and countermeasures may be adopted by other countries. In addition, any additional tariffs imposed by the U.S. presidential administration or retaliatory tariffs announced by other countries could result in a trade war, lead to market disruptions, including significant volatility in commodity prices, credit, and capital markets, as well as supply chain interruptions for equipment. These tariffs could adversely impact our business, financial condition, and results of operations, and if we are unable to pass such price increases through to our customers, it would likely increase our cost of sales and, as a result, decrease our gross margins, operating income, and net income. The impact of tariffs on our business and results of operations will depend on their timing, duration and magnitude.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Government Environment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industry is affected by government budget and spending levels, changes in demand, changes in policy positions or priorities, the domestic and global political and economic environment, and the evolving nature of the space and defense sectors. In particular, the expansion of adversarial budgets to fund the development of hypersonic technologies poses a direct threat to the U.S., fueling this market momentum. Any changes in budget and spending levels, policies, or priorities, including the current emphasis by the U.S. presidential administration on access to space, may have an adverse impact on our business and operating results. In addition, U.S. government procurement regulations impose various operational requirements on government contractors. Non-compliance with any of these regulations could materially adversely affect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Pace of Government Expenditures and Private Enterprise Investment in the Space Economy</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Our future growth is largely dependent on our ability to continue to capitalize on increased government spending and private investment in the space economy. Government expenditures and private enterprise investment have fueled our growth in recent years and have resulted in our continued ability to secure increasingly valuable contracts for products and services as well as the ability to continue financing the growth and development of our business. We expect the continued availability and growth of government expenditures and private investment in the space economy will be an important contributor to increased purchases of our products and services; however, any delays or reductions in appropriations for our programs and changes in U.S. government priorities and spending levels more broadly may negatively impact our business. </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Any future prolonged U.S. government shutdown or the adoption of a </w:t>
      </w:r>
      <w:r>
        <w:rPr>
          <w:rFonts w:ascii="Times New Roman" w:hAnsi="Times New Roman"/>
          <w:color w:val="000000"/>
          <w:sz w:val="20"/>
        </w:rPr>
        <w:t>“</w:t>
      </w:r>
      <w:r>
        <w:rPr>
          <w:rFonts w:ascii="Times New Roman" w:hAnsi="Times New Roman"/>
          <w:color w:val="212529"/>
          <w:sz w:val="20"/>
        </w:rPr>
        <w:t>continuing resolution</w:t>
      </w:r>
      <w:r>
        <w:rPr>
          <w:rFonts w:ascii="Times New Roman" w:hAnsi="Times New Roman"/>
          <w:color w:val="000000"/>
          <w:sz w:val="20"/>
        </w:rPr>
        <w:t>”</w:t>
      </w:r>
      <w:r>
        <w:rPr>
          <w:rFonts w:ascii="Times New Roman" w:hAnsi="Times New Roman"/>
          <w:color w:val="212529"/>
          <w:sz w:val="20"/>
        </w:rPr>
        <w:t xml:space="preserve"> requiring the government to operate on funding levels equivalent to its prior fiscal year, could have an adverse impact on our results and growth plans. Additionally, a prolonged shutdown and any subsequent lapse in federal funding could cause U.S. federal government agencies to reduce their purchases under contracts, exercise their right to terminate contracts, or delay or pause new programs or funding existing programs, all of which could decrease our revenue and materially adversely impact our business, revenue,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the Expansion of Launch and Spacecraft Solutions Mission Operations</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The launch market is rapidly expanding, with significant demand for launch and spacecraft solutions and services. Our success and ability to generate higher revenue will depend in large part on our ability to expand our Launch and Spacecraft Solutions offerings and to continue the deployment and development of our launch vehicles on a timely basis. As a result, our revenue and results of operations are subject to fluctuation depending on the number of launch missions scheduled and completed in a period and any launch delays.</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We expect to continue to ramp up our launch cadence as we increase our production rate on Alpha rockets, and complete development of Eclipse. We successfully completed our first lunar landing on March 2, 2025, with three additional Blue Ghost missions planned through 2029. </w:t>
      </w:r>
      <w:r>
        <w:rPr>
          <w:rFonts w:ascii="Times New Roman" w:hAnsi="Times New Roman"/>
          <w:color w:val="000000"/>
          <w:sz w:val="20"/>
        </w:rPr>
        <w:t xml:space="preserve">Empowered by our successful Blue Ghost mission and common technologies across spacecraft, we believe we are well positioned to unlock adjacent markets and contracts via our multi-mission orbital vehicle, Elytra. </w:t>
      </w:r>
      <w:r>
        <w:rPr>
          <w:rFonts w:ascii="Times New Roman" w:hAnsi="Times New Roman"/>
          <w:color w:val="212529"/>
          <w:sz w:val="20"/>
        </w:rPr>
        <w:t xml:space="preserve">Any delays in commencing our missions, including due to delays or cost overruns in obtaining licenses or other regulatory approvals, launch delays or failures (for example, failures similar to the event on September 29, 2025 during the testing of our Alpha Flight 7 rocket at our facility in Briggs, Texas, which resulted in damage to the test stand but no material impact to our results of operations), or entering into future agreements with additional customers could adversely impact our ability to generate revenue, results of operations, and growth plans. We have approximately </w:t>
      </w:r>
      <w:r>
        <w:rPr>
          <w:rFonts w:ascii="Times New Roman" w:hAnsi="Times New Roman"/>
          <w:color w:val="000000"/>
          <w:sz w:val="20"/>
        </w:rPr>
        <w:t>$1.3</w:t>
      </w:r>
      <w:r>
        <w:rPr>
          <w:rFonts w:ascii="Times New Roman" w:hAnsi="Times New Roman"/>
          <w:color w:val="212529"/>
          <w:sz w:val="20"/>
        </w:rPr>
        <w:t xml:space="preserve"> billion in backlog, as of March 31, 2026, and we are in active discussions with numerous potential customers, including government agencies and private companies, to potentially add to our backlog.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Improve Profit Margins and Scale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growth of our business is dependent on our ability to improve our profit margins over time while successfully scaling our business, including through continued investment in initiatives to improve our operating leverage. We believe continued reduction in costs and an increase in production and service volumes will enable a reduction of the cost of launch vehicles and an improvement of our gross margins. As we increase our launch cadence, we expect to be able to continue to improve our cost structure as fixed and overhead costs are amortized over a greater number of launches. Revenue, net income, and the timing of our cash flows also depend on our ability to perform on our contracts, and profitability can fluctuate depending on the mix of contracts awarded. To manage these fluctuations, we have implemented several strategies, such as closely monitoring project and related services timelines to anticipate cash flow needs. Despite these measures, the inherent variability in milestone achievements means that quarter-to-quarter comparisons of our results of operations may not necessarily be indicative of future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to Innovate and Expand our Service Offerings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continue gaining market share and attracting customers, we plan to continue to make substantial investments in research and development (“R&amp;D”) for the continued enhancements of our Launch and Spacecraft Solutions. Our growth opportunity is dependent on our continued ability to expand our addressable launch market, win lunar and orbital missions and expand our portfolio of services related to those offerings. For instance, building on our launch, lander, transit, and operations success with Alpha and Blue Ghost, we are on track for our offerings to facilitate payload hosting services, transport services, utility services, and data services in LEO, MEO, and GEO. Our acquisition of SciTec adds the development of adaptable missile defense and mission data processing capability to our Spacecraft Solutions service portfolio. We plan to continue to forge strategic partnerships with industry leaders to enhance our technological capabilities and market reach.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Revenue – </w:t>
      </w:r>
      <w:r>
        <w:rPr>
          <w:rFonts w:ascii="Times New Roman" w:hAnsi="Times New Roman"/>
          <w:color w:val="000000"/>
          <w:sz w:val="20"/>
        </w:rPr>
        <w:t xml:space="preserve">Our revenue is primarily derived from long-term contracts to provide launch and integration services for payloads requiring transportation into orbit via launch vehicles and to provide end-to-end services for the integration and transportation of payloads, and to provide products and services to government entities for national defense missions.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Launch revenue includes revenues from contracts with commercial and government entities to provide launch and integration services for payloads requiring transportation into orbit via launch vehicles. These contracts may include milestone payments and deposits. We consider the performance obligation to be the initiation of the launch and recognize revenue at that point in time. We also enter into contracts with our customers to provide engineering services, related components, and develop and provide licenses to intellectual property. In these cases, our service obligation is satisfied over time since the tasks are performed according to the customer’s specifications, which creates an asset with no alternative use to us and we have an enforceable right to payment for performance completed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Spacecraft Solutions revenue includes revenue from contracts with commercial and government entities to provide end-to-end services to integrate payloads into Blue Ghost and Elytra for transport to the Moon and on-orbit space domain awareness missions, respectively, as well as to develop and provide software, sensor, and data processing capabilities for national defense missions. These contracts include firm-fixed-price, cost-plus, and time-and-materials pricing structures. For commercial payload services we consider the performance obligation to be the integration of customer payloads for delivery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us, or (2) the customer receives and consumes benefits as work is completed and we have an enforceable right to payment for performance completed to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our Spacecraft Solutions contracts do not contain an embedded lease because the Company is able to derive more than insignificant economic benefits from the various capabilities provided through these contracts. However, in the limited instances when the customer obtains substantially all of the economic benefits, determined at contract inception, the contract is determined to include an embedded lease. For such arrangements, the Company has determined that the customer is the deemed accounting owner of the asset during the construction period. As a result, the Company determined it is providing services for the integration and delivery of the customer payload for those arrangements, and accounts for them based on the guidance for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we consider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perform work under contracts that broadly consist of firm-fixed-price, cost-plus, cost reimbursable, and time-and-materials arrangements, or a combination thereof. Pricing is contractually based on specific negotiations with each customer. Advanced payments and billings for milestones in excess of revenues recognized are recorded as current and non-current deferred revenue in our consolidated balance sheets and recognized into revenue as we satisfy the underlying performance obligations. Occasionally we recognize revenue in advance of customer billings which creates a contract asset recorded within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fixed-price contracts satisfied over time, progress is measured using a cost-to-cost method, which accurately reflects the transfer of control to the customer. This method assesses the extent of progress based on the ratio of costs incurred to date against the total estimated costs to complete the performance obligation. Estimating total costs to complete requires us to make informed estimates regarding subcontractor performance, material costs and availability, labor costs and productivity, as well as overhead expenses.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contractual obligations are achieved.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Cost-reimbursable, cost-plus, and time-and-materials contracts with the U.S. government are generally subject to the Federal Acquisition Regulations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Should the estimated total costs to be incurred on a contract surpass the anticipated total revenue, we recognize a provision for the entire loss on the contract in the period when the loss is identified. For further discussion of the critical judgments and estimates related to our revenue recognition policies, see the section titled “Critical Accounting Estimates.”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Sales </w:t>
      </w:r>
      <w:r>
        <w:rPr>
          <w:rFonts w:ascii="Times New Roman" w:hAnsi="Times New Roman"/>
          <w:color w:val="000000"/>
          <w:sz w:val="20"/>
        </w:rPr>
        <w:t xml:space="preserve">– primarily consists of raw materials, employee and contractor compensation, and other costs directly attributable to fulfilling our obligations under customer contracts. Costs of sales are expensed as incurred. We expect our cost of sales to increase in relative and absolute dollars in future periods as we sell more services and as our products mature to technological feasibility and reach full-rate production.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Research and Development – </w:t>
      </w:r>
      <w:r>
        <w:rPr>
          <w:rFonts w:ascii="Times New Roman" w:hAnsi="Times New Roman"/>
          <w:color w:val="000000"/>
          <w:sz w:val="20"/>
        </w:rPr>
        <w:t>includes employee and contractor compensation, supplies and materials for new service development, depreciation and amortization, and regulatory compliance costs. Research and development costs are expensed as incurred. We expect to continue investing in research and development and, accordingly, expect our research and development expenses to vary as we continue to invest in developing and improving our services, and as our products reach technological feasibility and full-rate production.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Selling, General, and Administrative </w:t>
      </w:r>
      <w:r>
        <w:rPr>
          <w:rFonts w:ascii="Times New Roman" w:hAnsi="Times New Roman"/>
          <w:color w:val="000000"/>
          <w:sz w:val="20"/>
        </w:rPr>
        <w:t>– includes personnel-related expenses, depreciation and amortization, and facilities-related costs primarily for our executive, marketing, finance, accounting, legal, and human resources functions. Selling, general, and administrative expenses also include expenses related to advertising, insurance, sales commission and fees for professional services principally consisting of legal, audit, and tax, as well as executive management expenses and transaction-related costs. Selling, general, and administrative expenses are expensed as incurred. We expect to incur additional selling, general, and administrative expenses as we begin operations as a public company, including expenses related to compliance with public company reporting obligations, and increased costs for insurance, investor relations, and professional services. As a result, we expect that our selling, general, and administrative expenses will increase in future periods and vary from period to period as a percentage of revenue.</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Warrant Liability</w:t>
      </w:r>
      <w:r>
        <w:rPr>
          <w:rFonts w:ascii="Times New Roman" w:hAnsi="Times New Roman"/>
          <w:color w:val="000000"/>
          <w:sz w:val="20"/>
        </w:rPr>
        <w:t xml:space="preserve"> – represents the period-over-period remeasurement gain or loss recognized related to our liability-classified warrants.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 consists primarily of interest income earned on cash and cash equivalents.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consists primarily of interest expense incurred on borrowings under our Revolving Credit Facility.</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Gain on Settlement of Contingent Liabilities </w:t>
      </w:r>
      <w:r>
        <w:rPr>
          <w:rFonts w:ascii="Times New Roman" w:hAnsi="Times New Roman"/>
          <w:color w:val="000000"/>
          <w:sz w:val="20"/>
        </w:rPr>
        <w:t>– reflects the derecognition of contingent liabilities due to the resolution of certain litigation and contract disputes during the year, net of the derecognition of related contract assets.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Other (Expense) Income, Net – </w:t>
      </w:r>
      <w:r>
        <w:rPr>
          <w:rFonts w:ascii="Times New Roman" w:hAnsi="Times New Roman"/>
          <w:color w:val="000000"/>
          <w:sz w:val="20"/>
        </w:rPr>
        <w:t>reflects miscellaneous income and expense unrelated to our core business activities.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Provision for Income Taxes – </w:t>
      </w:r>
      <w:r>
        <w:rPr>
          <w:rFonts w:ascii="Times New Roman" w:hAnsi="Times New Roman"/>
          <w:color w:val="000000"/>
          <w:sz w:val="20"/>
        </w:rPr>
        <w:t xml:space="preserve">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discusses our results of operations for the three months ended March 31, 2026 and 2025.</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Comparison of the Three Months Ended March 31, 2026 to the Three Months Ended March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tbl>
      <w:tblPr>
        <w:tblW w:w="9291" w:type="dxa"/>
        <w:jc w:val="left"/>
        <w:tblInd w:w="0" w:type="dxa"/>
        <w:tblLayout w:type="fixed"/>
        <w:tblCellMar>
          <w:top w:w="28" w:type="dxa"/>
          <w:left w:w="28" w:type="dxa"/>
          <w:bottom w:w="28" w:type="dxa"/>
          <w:right w:w="28" w:type="dxa"/>
        </w:tblCellMar>
      </w:tblPr>
      <w:tblGrid>
        <w:gridCol w:w="3816"/>
        <w:gridCol w:w="146"/>
        <w:gridCol w:w="211"/>
        <w:gridCol w:w="781"/>
        <w:gridCol w:w="166"/>
        <w:gridCol w:w="146"/>
        <w:gridCol w:w="211"/>
        <w:gridCol w:w="736"/>
        <w:gridCol w:w="166"/>
        <w:gridCol w:w="146"/>
        <w:gridCol w:w="211"/>
        <w:gridCol w:w="736"/>
        <w:gridCol w:w="166"/>
        <w:gridCol w:w="146"/>
        <w:gridCol w:w="255"/>
        <w:gridCol w:w="736"/>
        <w:gridCol w:w="51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0" w:after="200"/>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tbl>
      <w:tblPr>
        <w:tblW w:w="7580" w:type="dxa"/>
        <w:jc w:val="left"/>
        <w:tblInd w:w="0" w:type="dxa"/>
        <w:tblLayout w:type="fixed"/>
        <w:tblCellMar>
          <w:top w:w="28" w:type="dxa"/>
          <w:left w:w="28" w:type="dxa"/>
          <w:bottom w:w="28" w:type="dxa"/>
          <w:right w:w="28" w:type="dxa"/>
        </w:tblCellMar>
      </w:tblPr>
      <w:tblGrid>
        <w:gridCol w:w="2476"/>
        <w:gridCol w:w="146"/>
        <w:gridCol w:w="211"/>
        <w:gridCol w:w="676"/>
        <w:gridCol w:w="146"/>
        <w:gridCol w:w="146"/>
        <w:gridCol w:w="211"/>
        <w:gridCol w:w="676"/>
        <w:gridCol w:w="146"/>
        <w:gridCol w:w="146"/>
        <w:gridCol w:w="214"/>
        <w:gridCol w:w="687"/>
        <w:gridCol w:w="146"/>
        <w:gridCol w:w="146"/>
        <w:gridCol w:w="255"/>
        <w:gridCol w:w="736"/>
        <w:gridCol w:w="4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Total revenue increased by $25.0 million, or 45%, to $80.9 million during the three months ended March 31, 2026 from $55.9 million during the three months ended March 31, 2025, primarily driven by the factors discussed below.</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Launch revenue increased by $8.1 million, or 156%, to $13.3 million during the three months ended March 31, 2026 from $5.2 million during the three months ended March 31, 2025, primarily due to our successful Alpha Flight 7 launch, increased progress on Eclipse design and manufacturing, and engineering services contracts related to the development of launch facilities.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Spacecraft Solutions revenue increased by $16.9 million, or 33%, to $67.6 million during the three months ended March 31, 2026 from $50.7 million during the three months ended March 31, 2025 driven by contributions from SciTec, and continued progress on Blue Ghost Missions 2, 3, and 4. The first quarter of 2025 included revenue related to the successful completion of Blue Ghost Mission 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sales increased by $9.8 million, or 18%, to $63.4 million during the three months ended March 31, 2026 from $53.6 million during the three months ended March 31, 2025, aligning with the increases in revenue related to our Spacecraft Solutions and Launch programs.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Research and development costs increased by $19.5 million, or 41%, to $67.5 million during the three months ended March 31, 2026 from $48.0 million during the three months ended March 31, 2025. The growth is primarily driven by an increase in costs related to the Alpha program associated with the launch of Alpha Flight 7 and ramping production on our Alpha Block II configuration upgrade, stock-based compensation expense, depreciation and amortization from newly acquired assets being placed into service, and other R&amp;D efforts. </w:t>
      </w:r>
    </w:p>
    <w:p>
      <w:pPr>
        <w:pStyle w:val="TextBody"/>
        <w:bidi w:val="0"/>
        <w:spacing w:before="0" w:after="200"/>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Selling, general, and administrative expenses increased by $32.9 million, or 258%, to $45.6 million during the three months ended March 31, 2026 from $12.8 million during the three months ended March 31, 2025, the increase was primarily driven by including a full quarter of SciTec expenses, stock-based compensation expense, and growth in our corporate infrastructure to support public company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income increased by $4.9 million, or 481%, to $6.0 million during the three months ended March 31, 2026 from $1.0 million during the three months ended March 31, 2025, reflecting interest income earned on the strategic investment of our IPO proceeds for the benefit of our working capital.</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decreased by $2.6 million, or 42%, to $3.6 million during the three months ended March 31, 2026 from $6.2 million during the three months ended March 31, 2025. Interest expense during the first quarter of 2026 was primarily comprised of interest on the Revolving Credit Facility. Interest expense during the first quarter of 2025 was primarily comprised of interest related to the Term Loans.</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jc w:val="left"/>
        <w:rPr/>
      </w:pPr>
      <w:r>
        <w:rPr/>
        <w:t> </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is a non-GAAP financial measure. We define Adjusted EBITDA as net loss adjusted for provision for income taxes, interest income, interest expense, depreciation and amortization, stock-based compensation expense, the change in fair value of warrant liability, certain one-time costs related to the IPO, transaction-related expenses, and gain on settlement of contingent liabilities. In addition to net loss, we use Adjusted EBITDA to evaluate our business, measure its performance, and make strategic decisions.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Our presentation of Adjusted EBITDA should not be construed as an inference that our future results will be unaffected by unusual or non-recurring items.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presents Adjusted EBITDA, reconciled to net loss for the periods indicated:</w:t>
      </w:r>
    </w:p>
    <w:tbl>
      <w:tblPr>
        <w:tblW w:w="8022" w:type="dxa"/>
        <w:jc w:val="left"/>
        <w:tblInd w:w="0" w:type="dxa"/>
        <w:tblLayout w:type="fixed"/>
        <w:tblCellMar>
          <w:top w:w="28" w:type="dxa"/>
          <w:left w:w="28" w:type="dxa"/>
          <w:bottom w:w="28" w:type="dxa"/>
          <w:right w:w="28" w:type="dxa"/>
        </w:tblCellMar>
      </w:tblPr>
      <w:tblGrid>
        <w:gridCol w:w="3816"/>
        <w:gridCol w:w="346"/>
        <w:gridCol w:w="330"/>
        <w:gridCol w:w="1151"/>
        <w:gridCol w:w="259"/>
        <w:gridCol w:w="228"/>
        <w:gridCol w:w="330"/>
        <w:gridCol w:w="1151"/>
        <w:gridCol w:w="411"/>
      </w:tblGrid>
      <w:tr>
        <w:trPr/>
        <w:tc>
          <w:tcPr>
            <w:tcW w:w="3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(96,676</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12,512</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One-time costs related to the IPO</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(64,709</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color w:val="000000"/>
          <w:sz w:val="16"/>
        </w:rPr>
      </w:pPr>
      <w:r>
        <w:rPr>
          <w:rFonts w:ascii="Times New Roman" w:hAnsi="Times New Roman"/>
          <w:color w:val="000000"/>
          <w:sz w:val="16"/>
        </w:rPr>
        <w:t>(1)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 Other includes loss on foreign exchange.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is a non-GAAP financial measure. We define Free Cash Flow as net cash used in operating activities, less purchases of property and equipment and internal-use software. We believe that Free Cash Flow is a meaningful indicator of liquidity that provides information to management and investors about the amount of cash generated from or used in operations, after purchases of property and equipment and internal-use software, that (after any debt service requirements or other non-discretionary expenditures not otherwise deducted from the measure) can be used for strategic initiatives, including continuous investment in our business and strengthening our balance sheet.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a reconciliation of net cash used in operating activities, the most directly comparable financial measure presented in accordance with U.S. GAAP, to Free Cash Flow:</w:t>
      </w:r>
    </w:p>
    <w:tbl>
      <w:tblPr>
        <w:tblW w:w="8997" w:type="dxa"/>
        <w:jc w:val="left"/>
        <w:tblInd w:w="0" w:type="dxa"/>
        <w:tblLayout w:type="fixed"/>
        <w:tblCellMar>
          <w:top w:w="28" w:type="dxa"/>
          <w:left w:w="28" w:type="dxa"/>
          <w:bottom w:w="28" w:type="dxa"/>
          <w:right w:w="28" w:type="dxa"/>
        </w:tblCellMar>
      </w:tblPr>
      <w:tblGrid>
        <w:gridCol w:w="5191"/>
        <w:gridCol w:w="146"/>
        <w:gridCol w:w="330"/>
        <w:gridCol w:w="1151"/>
        <w:gridCol w:w="259"/>
        <w:gridCol w:w="228"/>
        <w:gridCol w:w="330"/>
        <w:gridCol w:w="1151"/>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(62,545</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and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(78,890</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(59,191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Non-GAAP financial measures have important limitations as analytical tools and you should not consider non-GAAP financial measures in isolation or as a substitute for analyses of our operating results or cash flows as reported under U.S. GAAP. Non-GAAP financial measures may be defined differently by other companies in our industry and may not be comparable to similarly titled measures of other companies, thereby diminishing their utility.</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sz w:val="20"/>
        </w:rPr>
      </w:pPr>
      <w:r>
        <w:rPr>
          <w:rFonts w:ascii="Times New Roman" w:hAnsi="Times New Roman"/>
          <w:color w:val="000000"/>
          <w:sz w:val="20"/>
        </w:rPr>
        <w:t>We measure liquidity in terms of our ability to fund the cash requirements of our business operations, including working capital needs, capital expenditures, contractual obligations, debt service, acquisitions, and other commitments</w:t>
      </w:r>
      <w:r>
        <w:rPr>
          <w:rFonts w:ascii="Times New Roman" w:hAnsi="Times New Roman"/>
          <w:color w:val="FF0000"/>
          <w:sz w:val="20"/>
        </w:rPr>
        <w:t xml:space="preserve"> </w:t>
      </w:r>
      <w:r>
        <w:rPr>
          <w:rFonts w:ascii="Times New Roman" w:hAnsi="Times New Roman"/>
          <w:color w:val="000000"/>
          <w:sz w:val="20"/>
        </w:rPr>
        <w:t xml:space="preserve">with cash flows from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and other sources of funding. Our principal sources of liquidity to date have included amounts raised through issuances of equity capital and borrowings under our financing agreements.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expected primary uses of cash on a short and long-term basis are for working capital requirements, capital expenditures, R&amp;D, debt service requirements, and other general corporate purposes. Our primary working capital requirements are for project execution activities including purchases of materials, subcontracted services and payroll, which fluctuate during the year, driven primarily by the timing and extent of activities required on new and existing projects.</w:t>
      </w:r>
    </w:p>
    <w:p>
      <w:pPr>
        <w:pStyle w:val="TextBody"/>
        <w:bidi w:val="0"/>
        <w:jc w:val="both"/>
        <w:rPr>
          <w:rFonts w:ascii="Times New Roman" w:hAnsi="Times New Roman"/>
          <w:color w:val="000000"/>
          <w:sz w:val="20"/>
        </w:rPr>
      </w:pPr>
      <w:r>
        <w:rPr>
          <w:rFonts w:ascii="Times New Roman" w:hAnsi="Times New Roman"/>
          <w:color w:val="000000"/>
          <w:sz w:val="20"/>
        </w:rPr>
        <w:t>As of March 31, 2026, our working capital position was in a surplus, in which our current assets exceeded our current liabilities. We often make advanced payments to suppliers for services that have not yet been received that are recorded as current or non-current assets depending on whether they are expected to be settled within a year. Additionally, as of March 31, 2026, our current deferred revenue totaled $146.2 million. This is primarily due to the timing and nature of our deferred revenue where advanced payments and billings in excess of revenues recognized are recorded as deferred revenue and recognized into revenue as we satisfy the underlying performance obligation. Due to the nature of our supplier and customer contracts as well as the timing of payments, we expect to continue to fluctuate between a surplus and a deficit of net working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generate sufficient liquidity from our ongoing operations and capital markets transactions in order to meet our obligations and operating needs will enable us to continue our business operations. If we require additional capital and are unsuccessful in raising that capital, we may not be able to continue our business operations and/or may be unable to advance growth initiatives, either of which could adversely impact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our cash and cash equivalents, and short-term investments amounted to $551.6 million, and our financial debt amounted to $26.8 million. The Revolving Credit Facility was undrawn as of March 31, 2026. We have a limited history of operations and have incurred negative cash flows from operating activities and losses from operations in the past as reflected in our accumulated deficit of $1.1 billion as of March 31, 2026. We believe that our cash and cash equivalents, and short-term investments, in addition to our available Revolving Credit Facility, will be adequate to meet our liquidity requirements for at least the next 12 months. Our future long-term capital requirements will depend on several factors, including our ability to raise additional capital and, over time, our ability to generate positive cash flows from operations. Further, our liquidity is affected by government budget and spending levels, and if a future prolonged government shutdown occurs, we could be at risk of reduced orders, program cancellations, and other disruptions and nonpayment.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Prior Credit Agreement</w:t>
      </w:r>
    </w:p>
    <w:p>
      <w:pPr>
        <w:pStyle w:val="TextBody"/>
        <w:bidi w:val="0"/>
        <w:spacing w:before="200" w:after="283"/>
        <w:jc w:val="both"/>
        <w:rPr>
          <w:rFonts w:ascii="Times New Roman" w:hAnsi="Times New Roman"/>
          <w:sz w:val="20"/>
        </w:rPr>
      </w:pPr>
      <w:r>
        <w:rPr>
          <w:rFonts w:ascii="Times New Roman" w:hAnsi="Times New Roman"/>
          <w:color w:val="231F20"/>
          <w:sz w:val="20"/>
        </w:rPr>
        <w:t>On July 17, 2023, we entered into a credit agreement (as further amended from time to time, the “ Prior Credit Agreement”) with</w:t>
      </w:r>
      <w:r>
        <w:rPr>
          <w:rFonts w:ascii="Times New Roman" w:hAnsi="Times New Roman"/>
          <w:color w:val="000000"/>
          <w:sz w:val="20"/>
        </w:rPr>
        <w:t xml:space="preserve"> </w:t>
      </w:r>
      <w:r>
        <w:rPr>
          <w:rFonts w:ascii="Times New Roman" w:hAnsi="Times New Roman"/>
          <w:color w:val="231F20"/>
          <w:sz w:val="20"/>
        </w:rPr>
        <w:t>various lenders and U.S. Bank Trust Company, N.A. in its capacity as collateral agent for the lenders. The Prior Credit Agreement provided term loan commitments in the aggregate principal amount of $136.1 million. The Prior Credit Agreement consisted of a term loan commitment of $103.5 million (“Term A Loans”) and a term loan commitment of $32.6 million (“Term B Loans” and, together with the Term A Loans, the “Term Loan Facility”). Borrowings under the Term Loan Facility bore interest at a fixed rate on the unpaid principal amount thereof of 13.875% provided that the fixed rate for Term Loan B Fixed Rate would increase to 19.135% in July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we used a portion of the net proceeds from the IPO to repay all of the borrowings under the Prior Credit Agreement, together with the specified prepayment premium of $11.4 million, and accrued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11 to our unaudited condensed consolidated financial statements included elsewhere in this Quarterly Report on Form 10-Q for more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New Credit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August 8, 2025</w:t>
      </w:r>
      <w:r>
        <w:rPr>
          <w:rFonts w:ascii="Times New Roman" w:hAnsi="Times New Roman"/>
          <w:color w:val="231F20"/>
          <w:sz w:val="20"/>
        </w:rPr>
        <w:t>,</w:t>
      </w:r>
      <w:r>
        <w:rPr>
          <w:rFonts w:ascii="Times New Roman" w:hAnsi="Times New Roman"/>
          <w:color w:val="000000"/>
          <w:sz w:val="20"/>
        </w:rPr>
        <w:t xml:space="preserve"> we entered into a new revolving credit agreement (the “New Credit Agreement”) providing for a senior secured revolving credit facility (the “Revolving Credit Facility”) in the aggregate principal amount of $125.0 million, including a sublimit for the issuance of letters of credit in an amount up to $15.0 million and a sublimit for swingline loans in an amount up to $7.5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7, 2025, we amended the New Credit Agreement. The amendment, among other things, increased the commitments under the Revolving Credit Facility by $135.0 million for an aggregate principal amount of $260.0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3, 2026, we further amended the New Credit Agreement. The amendment, among other things, increased the commitments under the Revolving Credit Facility by $45.0 million, for an aggregate principal amount of $305.0 million. The amendment also increased the interest spread applicable to loans under the Revolving Credit Facility by 0.25%. In addition, the amendment removed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minimum free cash flow maintenance covenant and adjusted the minimum liquidity maintenance covenant to required $381.3 million of minimum liquidity, tested as of the last day of each calendar month (commencing with the calendar month ending April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matures on August 8, 2028. Prior to giving effect to the April 3, 2026 amendments, the loans under the Revolving Credit Facility bear interest at a variable rate per annum equal to, at our option, either (a) term SOFR plus a 3.00% spread or (b) an alternative base rate (as set forth in the New Credit Agreement) plus a 2.00% spread. A commitment fee of 0.375% per annum is applied on the unused commitments under the Revolving Credit Facility. After giving effect to such amendment, the loans under the Revolving Credit Facility bear interest at a variable rate per annum equal to, at the Company's option, either (a) term SOFR plus a 3.25% spread or (b) an alternative base rate (as set forth in the Credit Agreement) plus a 2.25% spread.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is guaranteed by certain of our wholly-owned domestic subsidiaries and secured by substantially all of our assets and the assets of certain of our subsidiaries, in each case, subject to customary exceptions.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contains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Revolving Credit Facility requires us to comply with the following financial covenants (subject to certain equity cure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minimum liquidity of $381.3 million, tested as of the last day of each calendar month (commencing with the calendar month ending April 30,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our election, and upon our achieving positive consolidated EBITDA (as calculated under the New Credit Agreement) (a “Leverage Covenant Triggering Event”), the minimum liquidity covenant will no longer be applicable, and our sole financial covenant following a Leverage Covenant Triggering Event will be maintenance of maximum first lien net leverage ratio not to exceed 4.00:1.00, tested as of the last day of each fiscal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also contains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Borrowings under the Revolving Credit Facility may vary significantly from time to time depending on our cash needs at any given time. On February 18, 2026, we repaid the entire $260.0 million in aggregate principal amount drawn under the Revolving Credit Facility. As of March 31, 2026, the Revolving Credit Facility remained undrawn, and it continued to remain undrawn as of the date of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3, 2026, we amended the New Credit Agreement. The amendment, among other things, increased the commitments under the Revolving Credit Facility by $45.0 million for an aggregate principal amount of $305.0 million. The amendment also increased the interest rate spread applicable to outstanding loans under the Revolving Credit Facility by 0.25% per annum. In addition, the amendment removed the minimum free cash flow maintenance covenant and adjusted the minimum liquidity maintenance covenant to require $381.3 million of minimum liquidity, tested as of the last day of each calendar month (commencing with the calendar month ending April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Preferred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sourced a significant portion of our liquidity through preferred stock issuances. We have had multiple issuances that have raised $925.2 million, net of issuance costs, since inception.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have 0.6 million outstanding warrants exercisable for shares of Series J Preferred Stock. We have reserved 0.6 million shares of common stock for issuance upon the exercise of the Series J Preferred Stock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10, 2025, our Board of Directors declared a dividend (the “Preferred Stock Dividend”) payable in shares of our common stock in respect of all accrued and unpaid dividends on our outstanding shares of Series C, Series D-1, Series D-2, and Series D-3 Preferred Stock held as of July 11, 2025. We paid the Preferred Stock Dividends on July 16, 2025, upon receipt of consents that were required from certain third parties, and issued approximately 3.3 million shares of common stock to the then-existing holders of our Series C, Series D-1, Series D-2, and Series D-3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closing of our IPO, all outstanding shares of preferred stock were converted into 105.8 million shares of common stock. In addition, in connection with the IPO, all outstanding common warrants were automatically exercised into 1.0 million shares of common stock. In addition, 0.6 million shares of common stock are reserved for issuance upon exercise of Series J Preferred Stock warrants to purchase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our Board of Directors declared a dividend (the “IPO Closing Preferred Stock Dividend”) payable in cash in respect of all unpaid dividends on our outstanding shares of Series C, Series D-1, Series D-2, and Series D-3 Preferred Stock that had accrued following July 11, 2025 through the conversion of such Preferred Stock into shares of common stock on August 8, 2025 in connection with the completion of the IPO. On August 28, 2025, we paid the IPO Closing Preferred Stock Dividend in an aggregate amount of $5.0 million in cash.</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w:t>
      </w:r>
    </w:p>
    <w:tbl>
      <w:tblPr>
        <w:tblW w:w="9430" w:type="dxa"/>
        <w:jc w:val="left"/>
        <w:tblInd w:w="0" w:type="dxa"/>
        <w:tblLayout w:type="fixed"/>
        <w:tblCellMar>
          <w:top w:w="28" w:type="dxa"/>
          <w:left w:w="28" w:type="dxa"/>
          <w:bottom w:w="28" w:type="dxa"/>
          <w:right w:w="28" w:type="dxa"/>
        </w:tblCellMar>
      </w:tblPr>
      <w:tblGrid>
        <w:gridCol w:w="4216"/>
        <w:gridCol w:w="146"/>
        <w:gridCol w:w="211"/>
        <w:gridCol w:w="841"/>
        <w:gridCol w:w="166"/>
        <w:gridCol w:w="146"/>
        <w:gridCol w:w="211"/>
        <w:gridCol w:w="781"/>
        <w:gridCol w:w="166"/>
        <w:gridCol w:w="146"/>
        <w:gridCol w:w="211"/>
        <w:gridCol w:w="841"/>
        <w:gridCol w:w="166"/>
        <w:gridCol w:w="146"/>
        <w:gridCol w:w="103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r>
    </w:tbl>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Net cash used in operating activities increased by $6.0 million, or 11%, to $62.5 million for the three months ended March 31, 2026 compared to $56.5 million for the three months ended March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March 31, 2026, we received $71.1 million in operating cash inflows from customers, primarily driven by cash received upon the completion of milestones and for progress achieved under our contracts. Operating cash outflows were $133.6 million, comprised of payments for labor and contractor costs, purchases of materials used in the manufacturing and development of our products, and general corporate expenses. Depending on the stages of completion of our various projects, our working capital balances will fluctuate throughout the year due to the timing of cash payments and cash receipts.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in investing activities increased by $138.7 million, or 5,225%, to $141.3 million during the three months ended March 31, 2026 compared to $2.7 million during the three months ended March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March 31, 2026, net cash used by investing activities was comprised of $125.0 million paid into short-term time deposits with maturities between nine and twelve months as part of our treasury management strategy. We paid $16.3 million for investments in our property and equipment infrastructure and internal-use software during the quarter.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March 31, 2025, net cash used by investing activities primarily consisted of $2.7 million in purchases of property and equipment and internal-use software.</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Net Cash Used in Financing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by financing activities increased by $376.8 million, or 331%, to an outflow of $262.9 million for the three months ended March 31, 2026 compared to an inflow of $113.9 million for the three months ended March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March 31, 2026, net cash used in financing activities primarily consisted of $260.0 million to repay the aggregate principal amount then drawn under the Revolving Credit Facility.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March 31, 2025, net cash provided by financing activities primarily consisted of $115.3 million of proceeds from the issuance of convertible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Lease Commitments</w:t>
      </w:r>
    </w:p>
    <w:p>
      <w:pPr>
        <w:pStyle w:val="TextBody"/>
        <w:bidi w:val="0"/>
        <w:jc w:val="both"/>
        <w:rPr>
          <w:rFonts w:ascii="Times New Roman" w:hAnsi="Times New Roman"/>
          <w:color w:val="000000"/>
          <w:sz w:val="20"/>
        </w:rPr>
      </w:pPr>
      <w:r>
        <w:rPr>
          <w:rFonts w:ascii="Times New Roman" w:hAnsi="Times New Roman"/>
          <w:color w:val="000000"/>
          <w:sz w:val="20"/>
        </w:rPr>
        <w:t>We lease buildings, launch sites, office facilities, machineries, and computer equipment. These leases are classified as operating or financing leases with various expiration dates through 2042. Our total remaining lease obligations as of March 31, 2026 are $26.2 million, with $3.1 million due in less than one year. See Note 10 to our unaudited condensed consolidated financial statements included elsewhere in this Quarterly Report on Form 10-Q for more information regarding our lease commitments.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do not engage in any off-balance sheet activities or have any arrangements or relationships with unconsolidated entities, such as variable interest, special purpose, and structured finance entities.</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unaudited condensed consolidated financial statements have been prepared in accordance with U.S. GAAP. Preparation of the financial statements requires our management to make judgments, estimates, and assumptions that impact the reported amount of net sales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unaudited condensed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both"/>
        <w:rPr>
          <w:rFonts w:ascii="Times New Roman" w:hAnsi="Times New Roman"/>
          <w:color w:val="000000"/>
          <w:sz w:val="20"/>
        </w:rPr>
      </w:pPr>
      <w:r>
        <w:rPr>
          <w:rFonts w:ascii="Times New Roman" w:hAnsi="Times New Roman"/>
          <w:color w:val="000000"/>
          <w:sz w:val="20"/>
        </w:rPr>
        <w:t>We enter into contracts with our customers to provide launch and spacecraft integration services, engineering services, software development and design, and licenses to intellectual property. Certain of our contracts are structured as firm-fixed-price or cost-plus-award-fee contracts, and some of these contain variable consideration which requires management to estimate the amount of consideration we will ultimately be entitled to receive. Estimates of variable consideration are based on the likelihood of completing a performance obligation or meeting certain award criteria.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revenue over time for performance obligations within these contracts based on total expected revenue, less constrained variable consideration.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the completion of the performance obligation. Estimating the total costs for the completion of a performance obligation requires management to make estimates related to items such as subcontractor performance, material costs and availability, labor costs and productivity, and the costs of overhead. For certain contracts, if estimates of total costs to be incurred on a contract exceed total estimates of revenue to be earned, a provision for the entire loss on the contract is recognized in the period the loss is incurred, based on the excess of management’s estimates of total costs to be incurred over revenue to be earned.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estimates of total costs to be incurred and variable consideration to be earned are highly subjective and dependent on its past experience and operations. Given our limited history of operations, its rapid development and commercialization of new products, as well as its continued focus on improving and refining its manufacturing processes, these estimates are inherently subject to a high degree of estimation uncertainty and may fluctuate significantly from period to period.</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 for business combinations using the acquisition method of accounting whereby the identifiable assets and liabilities of the acquired business, are recorded at their estimated fair value as the date that we obtain control of the acquired business. The fair value of the consideration paid is assigned to the underlying net assets of the acquired business based on their respective fair values. Any excess of the purchase price over the estimated fair values of the net assets acquired is recorded to goodwill. Acquisition-related expenses are expensed as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Several valuation methods may be used to determine the fair value of the assets acquired and liabilities assumed. For intangible assets, we typically use a method that is a form of variation of the income approach, whereby a forecast of future cash flows attributable to the asset are discounted to present value using a risk-adjusted discount rate. Some of the more significant estimates and assumptions inherent in the income approach include the amount and timing of projected future cash flows, the discount rate selected to measure the risks inherent in the future cash flows and the assessment of the asset’s expected useful life. Our estimates of fair value are based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assumptions believed to be reasonable, but which are inherently uncertain. During the measurement period of up to one year from the acquisition date, based on new information obtained that relates to the facts and circumstances that existed as of the acquisition date, we may record adjustments to the assets acquired and liabilities assumed with corresponding offset to goodwill. We record adjustments identified, if any, subsequent to the end of the measurement period in our consolidated statements of net loss and comprehensive loss.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both"/>
        <w:rPr>
          <w:rFonts w:ascii="Times New Roman" w:hAnsi="Times New Roman"/>
          <w:color w:val="000000"/>
          <w:sz w:val="20"/>
        </w:rPr>
      </w:pPr>
      <w:r>
        <w:rPr>
          <w:rFonts w:ascii="Times New Roman" w:hAnsi="Times New Roman"/>
          <w:color w:val="000000"/>
          <w:sz w:val="20"/>
        </w:rPr>
        <w:t>Our warrants are liability-classified on the consolidated balance sheets and, therefore, are recorded at fair value at each reporting period. Following the IPO, we determined the fair value of the warrant liability based on a Black-Scholes option-pricing valuation model and classifies the warrants as Level 2. The most significant estimate in the Black-Scholes model is the derived volatility due to the short trading history of our shares. Prior to our IPO, the Level 3 significant unobservable inputs used in the fair value measurement of our warrant liability were volatility, term, discount for lack of marketability and probability weighting based on different scenarios including change of control, IPO, and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our IPO, all outstanding Common Warrants were automatically exercised into 1.0 million shares of common stock. In addition, 0.6 million shares of common stock are reserved for issuance upon exercise of the outstanding Series J Warrants.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net assets acquired in business combinations. We test goodwill for impairment at least annually during the fourth fiscal quarter, or more frequently if indicators of impairment exist during the fiscal year.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testing goodwill for impairment, we first perform a qualitative assessment. If we determine it is more likely than not that a reporting unit’s fair value is less than its carrying amount, then a one-step impairment test is required. If we determine it is not more likely than not a reporting unit’s fair value is less than its carrying amount, then no further analysis is necessary. To identify whether a potential impairment exists, we compare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We performed our most recent qualitative analysis as of October 1, 2025, where we determined the fair value of our reporting unit with goodwill substantially exceeded its carrying value.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jc w:val="both"/>
        <w:rPr>
          <w:rFonts w:ascii="Times New Roman" w:hAnsi="Times New Roman"/>
          <w:color w:val="000000"/>
          <w:sz w:val="20"/>
        </w:rPr>
      </w:pPr>
      <w:r>
        <w:rPr>
          <w:rFonts w:ascii="Times New Roman" w:hAnsi="Times New Roman"/>
          <w:color w:val="000000"/>
          <w:sz w:val="20"/>
        </w:rPr>
        <w:t>We review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We have not identified any material impairment losses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Using a discounted cash flow method involves significant judgment and requires us to make significant estimates and assumptions, including long-term projections of cash flows, market conditions, and appropriate discount rates. Judgments are based on historical experience, current market trends, consultations with external valuation specialists, and other information. If facts and circumstances change, the use of different estimates and assumptions could result in a materially different outcome. We generally develop these forecasts based on recent sales data for existing services, acquisitions, and estimated future growth of the market in which we operate.</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Recently Issued and Adopted Accounting Standards</w:t>
      </w:r>
    </w:p>
    <w:p>
      <w:pPr>
        <w:pStyle w:val="TextBody"/>
        <w:bidi w:val="0"/>
        <w:jc w:val="both"/>
        <w:rPr>
          <w:rFonts w:ascii="Times New Roman" w:hAnsi="Times New Roman"/>
          <w:color w:val="000000"/>
          <w:sz w:val="20"/>
        </w:rPr>
      </w:pPr>
      <w:r>
        <w:rPr>
          <w:rFonts w:ascii="Times New Roman" w:hAnsi="Times New Roman"/>
          <w:color w:val="000000"/>
          <w:sz w:val="20"/>
        </w:rPr>
        <w:t>Recently issued and newly adopted accounting standards are described in Note 2 to our unaudited condensed consolidated financial statements included elsewhere in this Quarterly Report on Form 10-Q.</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Emerging Growth Company Accounting Election</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Section 102(b)(1) of </w:t>
      </w:r>
      <w:r>
        <w:rPr>
          <w:rFonts w:ascii="Times New Roman" w:hAnsi="Times New Roman"/>
          <w:color w:val="010302"/>
          <w:sz w:val="20"/>
        </w:rPr>
        <w:t xml:space="preserve">the Jumpstart Our Business Startups Act of 2012, as amended (the </w:t>
      </w:r>
      <w:r>
        <w:rPr>
          <w:rFonts w:ascii="Times New Roman" w:hAnsi="Times New Roman"/>
          <w:color w:val="000000"/>
          <w:sz w:val="20"/>
        </w:rPr>
        <w:t>“</w:t>
      </w:r>
      <w:r>
        <w:rPr>
          <w:rFonts w:ascii="Times New Roman" w:hAnsi="Times New Roman"/>
          <w:color w:val="010302"/>
          <w:sz w:val="20"/>
        </w:rPr>
        <w:t>JOBS Act</w:t>
      </w:r>
      <w:r>
        <w:rPr>
          <w:rFonts w:ascii="Times New Roman" w:hAnsi="Times New Roman"/>
          <w:color w:val="000000"/>
          <w:sz w:val="20"/>
        </w:rPr>
        <w:t>”</w:t>
      </w:r>
      <w:r>
        <w:rPr>
          <w:rFonts w:ascii="Times New Roman" w:hAnsi="Times New Roman"/>
          <w:color w:val="010302"/>
          <w:sz w:val="20"/>
        </w:rPr>
        <w:t>)</w:t>
      </w:r>
      <w:r>
        <w:rPr>
          <w:rFonts w:ascii="Times New Roman" w:hAnsi="Times New Roman"/>
          <w:color w:val="000000"/>
          <w:sz w:val="20"/>
        </w:rPr>
        <w:t xml:space="preserve">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and have</w:t>
      </w:r>
      <w:r>
        <w:rPr>
          <w:rFonts w:ascii="Times New Roman" w:hAnsi="Times New Roman"/>
          <w:color w:val="FF0000"/>
          <w:sz w:val="20"/>
        </w:rPr>
        <w:t xml:space="preserve"> </w:t>
      </w:r>
      <w:r>
        <w:rPr>
          <w:rFonts w:ascii="Times New Roman" w:hAnsi="Times New Roman"/>
          <w:color w:val="000000"/>
          <w:sz w:val="20"/>
        </w:rPr>
        <w:t xml:space="preserve">elected to take advantage of the benefits of this extended transition period, which means that when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color w:val="000000"/>
          <w:sz w:val="20"/>
        </w:rPr>
        <w:t>standard is issued or revised and has different application dates for public or private companies, we, as an emerging growth company, may adopt the new or revised standard at the time private companies are required to adopt the new or revised standard. We will remain an emerging growth company until the earliest of (i) the last day of the</w:t>
      </w:r>
      <w:r>
        <w:rPr>
          <w:rFonts w:ascii="Times New Roman" w:hAnsi="Times New Roman"/>
          <w:color w:val="FF0000"/>
          <w:sz w:val="20"/>
        </w:rPr>
        <w:t xml:space="preserve"> </w:t>
      </w:r>
      <w:r>
        <w:rPr>
          <w:rFonts w:ascii="Times New Roman" w:hAnsi="Times New Roman"/>
          <w:color w:val="000000"/>
          <w:sz w:val="20"/>
        </w:rPr>
        <w:t>fiscal year in which we have total annual gross revenues of $1.235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 and expect to continue to take advantage of the benefits of the extended transition period. This may make it difficult or impossible to compare our</w:t>
      </w:r>
      <w:r>
        <w:rPr>
          <w:rFonts w:ascii="Times New Roman" w:hAnsi="Times New Roman"/>
          <w:color w:val="FF0000"/>
          <w:sz w:val="20"/>
        </w:rPr>
        <w:t xml:space="preserve"> </w:t>
      </w:r>
      <w:r>
        <w:rPr>
          <w:rFonts w:ascii="Times New Roman" w:hAnsi="Times New Roman"/>
          <w:color w:val="000000"/>
          <w:sz w:val="20"/>
        </w:rPr>
        <w:t>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2" w:name="item_3_quantitative_and_qualitative_disc"/>
      <w:bookmarkEnd w:id="12"/>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market risk for changes in interest rates applicable to our cash and cash equivalents and debt. We have operations within the United States and as such we are exposed to market risks in the ordinary course of our business, including the effects of interest rate changes and credit risk. Information related to quantitative and qualitative disclosure about this market risk is set forth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did not have any fixed-rate debt outstanding as of March 31, 2026, we are exposed to interest rate risk primarily though our Revolving Credit Facility. As of March 31, 2026, there were no borrowings under the Revolving Credit Facility, however, we may draw upon loans under the Revolving Credit Facility in the future. Loans that we may draw under the Revolving Credit Facility currently bear interest at a variable rate per annum equal to, at our option, either (i) term SOFR plus a 3.25% spread or (ii) an alternative base rate (as set forth under the New Credit Agreement) plus a 2.25% spread.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Credit risk arises primarily from receivables from our customers. Credit risk is managed through ongoing credit evaluations of its customers’ financial condition, taking into account the financial condition, current economic trends, analysis of historical bad debts, and aging of accounts receivable. The maximum exposure to credit risk at the reporting date is primarily from accounts receivable, which amounted to $44.8 million and $46.1 million as of year ended March 31, 2026 and December 31, 2025, respectively.</w:t>
      </w:r>
    </w:p>
    <w:p>
      <w:pPr>
        <w:pStyle w:val="TextBody"/>
        <w:bidi w:val="0"/>
        <w:spacing w:before="0" w:after="200"/>
        <w:jc w:val="both"/>
        <w:rPr/>
      </w:pPr>
      <w:r>
        <w:rPr/>
        <w:t> </w:t>
      </w:r>
    </w:p>
    <w:p>
      <w:pPr>
        <w:pStyle w:val="TextBody"/>
        <w:bidi w:val="0"/>
        <w:jc w:val="both"/>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Limitation on Effectiveness of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as of March 31, 2026. Based on the evaluation of our disclosure controls and procedures, our Chief Executive Officer and Chief Financial Officer concluded that our disclosure controls and procedures were effective at the reasonable assurance level as of March 31,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15(d)-15(f) of the Exchange Act during the quarter ended March 31, 2026 that have materially affected, or are reasonably likely to materially affect, our internal control over financial reporting.</w:t>
      </w:r>
    </w:p>
    <w:p>
      <w:pPr>
        <w:pStyle w:val="TextBody"/>
        <w:bidi w:val="0"/>
        <w:spacing w:before="0" w:after="160"/>
        <w:jc w:val="left"/>
        <w:rPr>
          <w:rFonts w:ascii="Times New Roman" w:hAnsi="Times New Roman"/>
          <w:b/>
          <w:color w:val="000000"/>
          <w:sz w:val="20"/>
        </w:rPr>
      </w:pPr>
      <w:bookmarkStart w:id="14" w:name="part_ii_other_information"/>
      <w:bookmarkEnd w:id="14"/>
      <w:r>
        <w:rPr>
          <w:rFonts w:ascii="Times New Roman" w:hAnsi="Times New Roman"/>
          <w:b/>
          <w:color w:val="000000"/>
          <w:sz w:val="20"/>
        </w:rPr>
        <w:t>Part II. Other Information</w:t>
      </w:r>
    </w:p>
    <w:p>
      <w:pPr>
        <w:pStyle w:val="TextBody"/>
        <w:bidi w:val="0"/>
        <w:spacing w:before="40" w:after="20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This information set forth under “Note 12 – Commitments and Contingencies – Legal Proceedings” to the unaudited condensed consolidated financial statements in this Quarterly Report on Form 10-Q is incorporated herein by reference.</w:t>
      </w:r>
    </w:p>
    <w:p>
      <w:pPr>
        <w:pStyle w:val="TextBody"/>
        <w:bidi w:val="0"/>
        <w:spacing w:before="200" w:after="200"/>
        <w:jc w:val="left"/>
        <w:rPr>
          <w:rFonts w:ascii="Times New Roman" w:hAnsi="Times New Roman"/>
          <w:b/>
          <w:color w:val="000000"/>
          <w:sz w:val="20"/>
        </w:rPr>
      </w:pPr>
      <w:bookmarkStart w:id="16" w:name="risk_factors"/>
      <w:bookmarkStart w:id="17" w:name="item1a_riskfactors"/>
      <w:bookmarkEnd w:id="16"/>
      <w:bookmarkEnd w:id="17"/>
      <w:r>
        <w:rPr>
          <w:rFonts w:ascii="Times New Roman" w:hAnsi="Times New Roman"/>
          <w:b/>
          <w:color w:val="000000"/>
          <w:sz w:val="20"/>
        </w:rPr>
        <w:t>Item 1A. Risk Factors.</w:t>
      </w:r>
    </w:p>
    <w:p>
      <w:pPr>
        <w:pStyle w:val="TextBody"/>
        <w:bidi w:val="0"/>
        <w:jc w:val="left"/>
        <w:rPr>
          <w:rFonts w:ascii="Times New Roman" w:hAnsi="Times New Roman"/>
          <w:color w:val="000000"/>
          <w:sz w:val="20"/>
        </w:rPr>
      </w:pPr>
      <w:r>
        <w:rPr>
          <w:rFonts w:ascii="Times New Roman" w:hAnsi="Times New Roman"/>
          <w:color w:val="000000"/>
          <w:sz w:val="20"/>
        </w:rPr>
        <w:t>In addition to the information set forth in this Report, you should carefully consider the risk factors and other cautionary statements described under the heading “Part I—Item 1A—Risk Factor” of our most recent Annual Report on Form 10-K, with such factors incorporated herein by reference. There have been no material changes in our risk factors from those included in our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bookmarkStart w:id="18" w:name="item_2_unregistered_sales_of_equity_sec"/>
      <w:bookmarkEnd w:id="18"/>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sz w:val="20"/>
        </w:rPr>
      </w:pPr>
      <w:bookmarkStart w:id="19" w:name="item_3_defaults_upon_senior_securities"/>
      <w:bookmarkEnd w:id="19"/>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both"/>
        <w:rPr>
          <w:rFonts w:ascii="Times New Roman" w:hAnsi="Times New Roman"/>
          <w:sz w:val="20"/>
        </w:rPr>
      </w:pPr>
      <w:bookmarkStart w:id="20" w:name="item_4_mine_safety_disclosures"/>
      <w:bookmarkEnd w:id="2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21" w:name="item_5_othe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Insider Trading Arrangements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Section 16 of the Exchange Act) adopted, modified or terminated a “Rule 10b5-1 trading arrangement” or a “non-Rule 10b5-1 trading arrangement” as such terms are defined under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spacing w:before="20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28"/>
        <w:gridCol w:w="146"/>
        <w:gridCol w:w="9231"/>
      </w:tblGrid>
      <w:tr>
        <w:trPr/>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1" w:type="dxa"/>
            <w:tcBorders/>
            <w:vAlign w:val="center"/>
          </w:tcPr>
          <w:p>
            <w:pPr>
              <w:pStyle w:val="TableContents"/>
              <w:bidi w:val="0"/>
              <w:spacing w:before="0" w:after="283"/>
              <w:jc w:val="left"/>
              <w:rPr>
                <w:sz w:val="4"/>
                <w:szCs w:val="4"/>
              </w:rPr>
            </w:pPr>
            <w:r>
              <w:rPr>
                <w:sz w:val="4"/>
                <w:szCs w:val="4"/>
              </w:rPr>
            </w:r>
          </w:p>
        </w:tc>
      </w:tr>
      <w:tr>
        <w:trPr/>
        <w:tc>
          <w:tcPr>
            <w:tcW w:w="8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Firefly Aerospace Inc. Amended Executive Severance Plan (incorporated by reference to Exhibit 10.4 to the Company's Current Report on Form 8-K filed with the SEC on April 21, 2026).</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10_2.htm">
              <w:r>
                <w:rPr>
                  <w:rStyle w:val="InternetLink"/>
                  <w:rFonts w:ascii="Times New Roman" w:hAnsi="Times New Roman"/>
                  <w:color w:val="0000FF"/>
                  <w:sz w:val="20"/>
                  <w:u w:val="single"/>
                </w:rPr>
                <w:t>Second Amendment to Credit Agreement, dated as of April 3, 2026, among Firefly Aerospace Inc., the other loan parties thereto, the lenders and issuing banks party thereto, and Wells Fargo Bank, National Association, as administrative agent.</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Employment Letter and Participation Agreement, dated as of April 16, 2026, by and between Firefly Aerospace Inc. and Jason Kim (incorporated by reference to Exhibit 10.1 to the Company’s Current Report on Form 8-K filed with the SEC on April 21, 2026).</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Employment Letter and Participation Agreement, dated as of April 16, 2026, by and between Firefly Aerospace Inc. and Darren Ma (incorporated by reference to Exhibit 10.2 to the Company’s Current Report on Form 8-K filed with the SEC on April 21, 2026).</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Employment Letter and Participation Agreement, dated as of April 16, 2026, by and between Firefly Aerospace Inc. and Ramon Sanchez (incorporated by reference to Exhibit 10.3 to the Company’s Current Report on Form 8-K filed with the SEC on April 21, 2026).</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
        <w:gridCol w:w="146"/>
        <w:gridCol w:w="9798"/>
      </w:tblGrid>
      <w:tr>
        <w:trPr/>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8" w:type="dxa"/>
            <w:tcBorders/>
            <w:vAlign w:val="center"/>
          </w:tcPr>
          <w:p>
            <w:pPr>
              <w:pStyle w:val="TableContents"/>
              <w:bidi w:val="0"/>
              <w:spacing w:before="0" w:after="283"/>
              <w:jc w:val="left"/>
              <w:rPr>
                <w:sz w:val="4"/>
                <w:szCs w:val="4"/>
              </w:rPr>
            </w:pPr>
            <w:r>
              <w:rPr>
                <w:sz w:val="4"/>
                <w:szCs w:val="4"/>
              </w:rPr>
            </w:r>
          </w:p>
        </w:tc>
      </w:tr>
      <w:tr>
        <w:trPr/>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Filed herewith.</w:t>
            </w:r>
          </w:p>
        </w:tc>
      </w:tr>
      <w:tr>
        <w:trPr/>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Exhibit is furnished and shall not be deemed “filed” for purposes of Section 18 of the Exchange Act, or otherwise subject to the liabilities of that section, nor shall it be deemed incorporated by reference in any filing under Securities Act, or the Exchange Act, except as shall be expressly set forth by specific reference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3" w:name="signatures"/>
      <w:bookmarkEnd w:id="23"/>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tbl>
      <w:tblPr>
        <w:tblW w:w="4649" w:type="dxa"/>
        <w:jc w:val="left"/>
        <w:tblInd w:w="0" w:type="dxa"/>
        <w:tblLayout w:type="fixed"/>
        <w:tblCellMar>
          <w:top w:w="28" w:type="dxa"/>
          <w:left w:w="28" w:type="dxa"/>
          <w:bottom w:w="28" w:type="dxa"/>
          <w:right w:w="28" w:type="dxa"/>
        </w:tblCellMar>
      </w:tblPr>
      <w:tblGrid>
        <w:gridCol w:w="1636"/>
        <w:gridCol w:w="146"/>
        <w:gridCol w:w="406"/>
        <w:gridCol w:w="246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24" w:name="fly-ex10_2.htm"/>
      <w:bookmarkStart w:id="25" w:name="ksflyex10_2"/>
      <w:bookmarkEnd w:id="24"/>
      <w:bookmarkEnd w:id="25"/>
      <w:r>
        <w:rPr>
          <w:rFonts w:ascii="Times New Roman" w:hAnsi="Times New Roman"/>
          <w:b/>
          <w:i/>
          <w:color w:val="000000"/>
          <w:sz w:val="22"/>
        </w:rPr>
        <w:t>Execution Version</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10.2</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SECOND AMENDMENT TO CREDIT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SECOND AMENDMENT TO CREDIT AGREEMENT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dated as of April 3, 2026, is entered into by and among FIREFLY AEROSPACE INC.,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Lenders and Issuing Banks party hereto, and WELLS FARGO BANK, NATIONAL ASSOCIATION, as the administrative agent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xml:space="preserve">) which amends that certain Credit Agreement, dated as of August 8, 2025, by and among, </w:t>
      </w:r>
      <w:r>
        <w:rPr>
          <w:rFonts w:ascii="Times New Roman" w:hAnsi="Times New Roman"/>
          <w:i/>
          <w:color w:val="000000"/>
          <w:sz w:val="22"/>
        </w:rPr>
        <w:t>inter alios,</w:t>
      </w:r>
      <w:r>
        <w:rPr>
          <w:rFonts w:ascii="Times New Roman" w:hAnsi="Times New Roman"/>
          <w:color w:val="000000"/>
          <w:sz w:val="20"/>
        </w:rPr>
        <w:t xml:space="preserve"> </w:t>
      </w:r>
      <w:r>
        <w:rPr>
          <w:rFonts w:ascii="Times New Roman" w:hAnsi="Times New Roman"/>
          <w:color w:val="000000"/>
          <w:sz w:val="22"/>
        </w:rPr>
        <w:t>the Borrower, the other Loan Parties party thereto, the Administrative Agent, the Lenders party thereto from time to time and the other Persons party thereto from time to time (as amended by that certain First Amendment to Credit Agreement, dated as of November 7, 2025, and as further amended, restated, amended and restated, supplemented or otherwise modified from time to time prior to the date hereof, the “</w:t>
      </w:r>
      <w:r>
        <w:rPr>
          <w:rFonts w:ascii="Times New Roman" w:hAnsi="Times New Roman"/>
          <w:color w:val="000000"/>
          <w:sz w:val="22"/>
          <w:u w:val="single"/>
        </w:rPr>
        <w:t>Credit Agreement</w:t>
      </w:r>
      <w:r>
        <w:rPr>
          <w:rFonts w:ascii="Times New Roman" w:hAnsi="Times New Roman"/>
          <w:color w:val="000000"/>
          <w:sz w:val="20"/>
        </w:rPr>
        <w:t xml:space="preserve">” </w:t>
      </w:r>
      <w:r>
        <w:rPr>
          <w:rFonts w:ascii="Times New Roman" w:hAnsi="Times New Roman"/>
          <w:color w:val="000000"/>
          <w:sz w:val="22"/>
        </w:rPr>
        <w:t>and as amended by this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 Capitalized terms used herein and not otherwise defined herein shall have the meanings assigned to them in the Credit Agreement or the Amended Credit Agreement, as the context may require.</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W I T N E S S E T H</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 desires to increase the Commitments in respect of the Revolving Facility pursuant to Section 2.22 of the Credit Agreement in an aggregate principal amount of $45,000,000 (the “</w:t>
      </w:r>
      <w:r>
        <w:rPr>
          <w:rFonts w:ascii="Times New Roman" w:hAnsi="Times New Roman"/>
          <w:color w:val="000000"/>
          <w:sz w:val="22"/>
          <w:u w:val="single"/>
        </w:rPr>
        <w:t>2026 Incremental Revolving Commitments</w:t>
      </w:r>
      <w:r>
        <w:rPr>
          <w:rFonts w:ascii="Times New Roman" w:hAnsi="Times New Roman"/>
          <w:color w:val="000000"/>
          <w:sz w:val="22"/>
        </w:rPr>
        <w:t>,” the loans funded thereunder, the “</w:t>
      </w:r>
      <w:r>
        <w:rPr>
          <w:rFonts w:ascii="Times New Roman" w:hAnsi="Times New Roman"/>
          <w:color w:val="000000"/>
          <w:sz w:val="22"/>
          <w:u w:val="single"/>
        </w:rPr>
        <w:t>2026 Incremental Revolving Loans</w:t>
      </w:r>
      <w:r>
        <w:rPr>
          <w:rFonts w:ascii="Times New Roman" w:hAnsi="Times New Roman"/>
          <w:color w:val="000000"/>
          <w:sz w:val="20"/>
        </w:rPr>
        <w:t xml:space="preserve">” </w:t>
      </w:r>
      <w:r>
        <w:rPr>
          <w:rFonts w:ascii="Times New Roman" w:hAnsi="Times New Roman"/>
          <w:color w:val="000000"/>
          <w:sz w:val="22"/>
        </w:rPr>
        <w:t>and the facility, the “</w:t>
      </w:r>
      <w:r>
        <w:rPr>
          <w:rFonts w:ascii="Times New Roman" w:hAnsi="Times New Roman"/>
          <w:color w:val="000000"/>
          <w:sz w:val="22"/>
          <w:u w:val="single"/>
        </w:rPr>
        <w:t>2026 Incremental Revolving Facility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WHEREAS, the proceeds of the borrowings under the 2026 Incremental Revolving Facility will be applied (i) for working capital and other general corporate purposes of the Borrower and the Subsidiaries and (ii) to pay fees and expenses incurred in connection with the Amendment (collectively, the “</w:t>
      </w:r>
      <w:r>
        <w:rPr>
          <w:rFonts w:ascii="Times New Roman" w:hAnsi="Times New Roman"/>
          <w:color w:val="000000"/>
          <w:sz w:val="22"/>
          <w:u w:val="single"/>
        </w:rPr>
        <w:t>Second Amendment Transactions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WHEREAS, Silicon Valley Bank, a division of First-Citizens Bank &amp; Trust Company (the “</w:t>
      </w:r>
      <w:r>
        <w:rPr>
          <w:rFonts w:ascii="Times New Roman" w:hAnsi="Times New Roman"/>
          <w:color w:val="000000"/>
          <w:sz w:val="22"/>
          <w:u w:val="single"/>
        </w:rPr>
        <w:t>2026 Incremental Revolving Lender</w:t>
      </w:r>
      <w:r>
        <w:rPr>
          <w:rFonts w:ascii="Times New Roman" w:hAnsi="Times New Roman"/>
          <w:color w:val="000000"/>
          <w:sz w:val="20"/>
        </w:rPr>
        <w:t>”</w:t>
      </w:r>
      <w:r>
        <w:rPr>
          <w:rFonts w:ascii="Times New Roman" w:hAnsi="Times New Roman"/>
          <w:color w:val="000000"/>
          <w:sz w:val="22"/>
        </w:rPr>
        <w:t xml:space="preserve">) has agreed to provide a 2026 Incremental Revolving Facility as an Augmenting Lender in the form of the 2026 Incremental Revolving Commitments available to the Borrower from and after the Second Amendment Effective Date in the principal amount set forth opposite its name on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 desires to amend the Credit Agreement on the date hereof to (i) establish the 2026 Incremental Revolving Commitments utilizing the capacity under the Incremental Cap pursuant to clause (a) of the definition of “Incremental Cap” and to effect the provisions of Section 2.22 of the Credit Agreement, (ii) immediately after giving effect to the 2026 Incremental Revolving Commitments, reset the Incremental Cap pursuant to clause (a) of the definition of “Incremental Cap” to $100,000,000 and (iii) make certain other changes to the Credit Agreement, in each case, on the terms and subject to the conditions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subject to the terms and conditions set forth herein, the Administrative Agent, the Swingline Lender and each Lender and Issuing Bank signatory hereto, which constitute all the Lenders, hereby consent to the 2026 Incremental Revolving Commitments and this Amendment, and, pursuant to Section 2.22(a), hereby consent to the 2026 Incremental Revolving Lender acting as Augmenting Lender;</w:t>
      </w:r>
    </w:p>
    <w:p>
      <w:pPr>
        <w:pStyle w:val="TextBody"/>
        <w:bidi w:val="0"/>
        <w:spacing w:before="0" w:after="240"/>
        <w:jc w:val="both"/>
        <w:rPr>
          <w:rFonts w:ascii="Times New Roman" w:hAnsi="Times New Roman"/>
          <w:sz w:val="20"/>
        </w:rPr>
      </w:pPr>
      <w:r>
        <w:rPr>
          <w:rFonts w:ascii="Times New Roman" w:hAnsi="Times New Roman"/>
          <w:color w:val="000000"/>
          <w:sz w:val="22"/>
        </w:rPr>
        <w:t>WHEREAS, JPMorgan Chase Bank, N.A. and Wells Fargo Securities, LLC are acting as joint lead arrangers and bookrunners (in such capacities, the “</w:t>
      </w:r>
      <w:r>
        <w:rPr>
          <w:rFonts w:ascii="Times New Roman" w:hAnsi="Times New Roman"/>
          <w:color w:val="000000"/>
          <w:sz w:val="22"/>
          <w:u w:val="single"/>
        </w:rPr>
        <w:t>Second Amendment Lead Arrangers</w:t>
      </w:r>
      <w:r>
        <w:rPr>
          <w:rFonts w:ascii="Times New Roman" w:hAnsi="Times New Roman"/>
          <w:color w:val="000000"/>
          <w:sz w:val="20"/>
        </w:rPr>
        <w:t>”</w:t>
      </w:r>
      <w:r>
        <w:rPr>
          <w:rFonts w:ascii="Times New Roman" w:hAnsi="Times New Roman"/>
          <w:color w:val="000000"/>
          <w:sz w:val="22"/>
        </w:rPr>
        <w:t>), in each case, in connection with this amendment; and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each Loan Party party hereto expects to realize substantial direct and indirect benefits as a result of this Amendment becoming effective and the consummation of the transactions contemplated hereby and agrees to reaffirm its obligations pursuant to the Credit Agreement, the Collateral Documents, and the other Loan Documents to which it is a party.</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mutual agreements herein contained and for other good and valuable consideration, the receipt and sufficiency of which are hereby acknowledged, the parties hereto, intending to be legally bound, hereby agree as follows:</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I</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AMENDMENTS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1.01</w:t>
      </w:r>
    </w:p>
    <w:p>
      <w:pPr>
        <w:pStyle w:val="TextBody"/>
        <w:bidi w:val="0"/>
        <w:spacing w:before="0" w:after="240"/>
        <w:jc w:val="both"/>
        <w:rPr/>
      </w:pPr>
      <w:r>
        <w:rPr>
          <w:rFonts w:ascii="Times New Roman" w:hAnsi="Times New Roman"/>
          <w:color w:val="000000"/>
          <w:sz w:val="22"/>
          <w:u w:val="single"/>
        </w:rPr>
        <w:t>Amendments</w:t>
      </w:r>
      <w:r>
        <w:rPr>
          <w:rFonts w:ascii="Times New Roman" w:hAnsi="Times New Roman"/>
          <w:color w:val="000000"/>
          <w:sz w:val="22"/>
        </w:rPr>
        <w:t xml:space="preserve">. Effective as of the Second Amendment Effective Date,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 xml:space="preserve">The Credit Agreement is hereby amended to (i)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double-underlined text (indicated textually in the same manner as the following example: </w:t>
      </w:r>
      <w:r>
        <w:rPr>
          <w:rFonts w:ascii="Times New Roman" w:hAnsi="Times New Roman"/>
          <w:color w:val="0070C0"/>
          <w:sz w:val="22"/>
          <w:u w:val="single"/>
        </w:rPr>
        <w:t>double-underlined text</w:t>
      </w:r>
      <w:r>
        <w:rPr>
          <w:rFonts w:ascii="Times New Roman" w:hAnsi="Times New Roman"/>
          <w:color w:val="000000"/>
          <w:sz w:val="22"/>
        </w:rPr>
        <w:t>) as set forth in Exhibit A attached 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Schedule 2.01 (Commitments) of the Credit Agreement is hereby amended and restated in its entirety as set forth on Exhibit B 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Exhibit M (Form of Liquidity Compliance Certificate) attached hereto as </w:t>
      </w:r>
      <w:r>
        <w:rPr>
          <w:rFonts w:ascii="Times New Roman" w:hAnsi="Times New Roman"/>
          <w:color w:val="000000"/>
          <w:sz w:val="22"/>
          <w:u w:val="single"/>
        </w:rPr>
        <w:t>Exhibit C</w:t>
      </w:r>
      <w:r>
        <w:rPr>
          <w:color w:val="000000"/>
        </w:rPr>
        <w:t xml:space="preserve"> </w:t>
      </w:r>
      <w:r>
        <w:rPr>
          <w:rFonts w:ascii="Times New Roman" w:hAnsi="Times New Roman"/>
          <w:color w:val="000000"/>
          <w:sz w:val="22"/>
        </w:rPr>
        <w:t xml:space="preserve">is hereby deemed to be Exhibit M of the Credit Agreement.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1.02</w:t>
      </w:r>
    </w:p>
    <w:p>
      <w:pPr>
        <w:pStyle w:val="TextBody"/>
        <w:bidi w:val="0"/>
        <w:spacing w:before="0" w:after="240"/>
        <w:jc w:val="both"/>
        <w:rPr/>
      </w:pPr>
      <w:r>
        <w:rPr>
          <w:rFonts w:ascii="Times New Roman" w:hAnsi="Times New Roman"/>
          <w:color w:val="000000"/>
          <w:sz w:val="22"/>
          <w:u w:val="single"/>
        </w:rPr>
        <w:t>2026 Incremental Revolving Commitments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the terms and conditions set forth herein, on the Second Amendment Effective Date, the 2026 Incremental Revolving Lender agrees to provide, pursuant to Section 2.22 of the Credit Agreement, the 2026 Incremental Revolving Commitments and to make Borrowings thereunder available to the Borrower on and following the Second Amendment Effective Date in an aggregate principal amount not to exceed the amount set forth opposite its name on Exhibit B hereto. The aggregate principal amount of the 2026 Incremental Revolving Commitments as of the Second Amendment Effective Date is $45,000,000.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2026 Incremental Revolving Commitments being provided pursuant to this Amendment shall be subject to the same terms and conditions applicable to the Commitments under the Credit Agreement and the other Loan Documents and shall constitute an increase to and shall be a part of the same Class of Commitments as the Commitments outstanding under the Credit Agreement immediately prior to giving effect to this Amendment for all purposes under the Amended Credit Agreement and the other Loan Documents. The Borrower shall use the proceeds of the 2026 Incremental Revolving Commitments to finance the Second Amendment Transactions.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On the Second Amendment Effective Date, after giving effect to the foregoing clauses (i) and (ii), the aggregate Commitments (including the 2026 Incremental Revolving Commitments) will be $305,000,000.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From and after the Second Amendment Effective Date, the 2026 Incremental Revolving Lender party hereto shall be a “Lender” for all purposes under the Amended Credit Agreement and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other Loan Documents and perform all the obligations of, and have all the rights of, a Lender thereunder.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the Second Amendment Effective Date, each of the Lenders holding Commitments immediately prior to the Second Amendment Effective Date is hereby deemed to assign to the 2026 Incremental Revolving Lender pursuant to Section 9.04 of the Credit Agreement, and the 2026 Incremental Revolving Lender is hereby deemed to purchase from each of the other Lenders holding Commitments immediately prior to the Second Amendment Effective Date, at the principal amount thereof, such interests in the Revolving Loans outstanding on the Second Amendment Effective Date as shall be necessary in order that, after giving effect to all such assignments and purchases, such Revolving Loans are held by the Lenders (including the 2026 Incremental Revolving Lender) ratably in accordance with their Commitments (after giving effect to the addition of the 2026 Incremental Revolving Commitments).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1.03</w:t>
      </w:r>
    </w:p>
    <w:p>
      <w:pPr>
        <w:pStyle w:val="TextBody"/>
        <w:bidi w:val="0"/>
        <w:spacing w:before="0" w:after="240"/>
        <w:jc w:val="both"/>
        <w:rPr/>
      </w:pPr>
      <w:r>
        <w:rPr>
          <w:rFonts w:ascii="Times New Roman" w:hAnsi="Times New Roman"/>
          <w:color w:val="000000"/>
          <w:sz w:val="22"/>
          <w:u w:val="single"/>
        </w:rPr>
        <w:t>Lenders</w:t>
      </w:r>
      <w:r>
        <w:rPr>
          <w:rFonts w:ascii="Times New Roman" w:hAnsi="Times New Roman"/>
          <w:color w:val="000000"/>
          <w:sz w:val="22"/>
        </w:rPr>
        <w:t>. By executing and delivering this Amendment, the 2026 Incremental Revolving Lender confirms and agrees as follows: (i) that it has received a copy of the Credit Agreement, together with copies of the most recent financial statements delivered pursuant to Section 5.01(a) or (b) of the Credit Agreement, as applicable, and such other documents and information as it has deemed appropriate to make its own credit analysis and decision to enter into this Amendment and the Amended Credit Agreement; (ii) that it will independently and without reliance upon the Administrative Agent or any other Lender and based on such documents and information as it shall deem appropriate at the time, continue to make its own credit decisions in taking or not taking action under the Amended Credit Agreement; (iii) that it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and (iv) that it will perform in accordance with their terms all the obligations which by the terms of the Amended Credit Agreement are required to be performed by it as a Lender thereunder.</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II</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The effectiveness of this Amendment is subject to the satisfaction or waiver (by the Administrative Agent) of each of the following conditions (the date of satisfaction or waiver of such condition being referred to herein as the “</w:t>
      </w:r>
      <w:r>
        <w:rPr>
          <w:rFonts w:ascii="Times New Roman" w:hAnsi="Times New Roman"/>
          <w:color w:val="000000"/>
          <w:sz w:val="22"/>
          <w:u w:val="single"/>
        </w:rPr>
        <w:t>Second Amendment 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2.01</w:t>
      </w:r>
    </w:p>
    <w:p>
      <w:pPr>
        <w:pStyle w:val="TextBody"/>
        <w:bidi w:val="0"/>
        <w:spacing w:before="0" w:after="240"/>
        <w:jc w:val="both"/>
        <w:rPr/>
      </w:pPr>
      <w:r>
        <w:rPr>
          <w:rFonts w:ascii="Times New Roman" w:hAnsi="Times New Roman"/>
          <w:color w:val="000000"/>
          <w:sz w:val="22"/>
          <w:u w:val="single"/>
        </w:rPr>
        <w:t>Execution</w:t>
      </w:r>
      <w:r>
        <w:rPr>
          <w:rFonts w:ascii="Times New Roman" w:hAnsi="Times New Roman"/>
          <w:color w:val="000000"/>
          <w:sz w:val="22"/>
        </w:rPr>
        <w:t xml:space="preserve">. The Administrative Agent shall have received a counterpart of this Amendment, executed and delivered by a duly authorized officer of the Borrower, the other Guarantors, the Administrative Agent, the Swingline Lender, the 2026 Incremental Revolving Lender and the Lenders and Issuing Banks party hereto constituting all the Lenders under the Credit Agreement.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2.02</w:t>
      </w:r>
    </w:p>
    <w:p>
      <w:pPr>
        <w:pStyle w:val="TextBody"/>
        <w:bidi w:val="0"/>
        <w:spacing w:before="0" w:after="240"/>
        <w:jc w:val="both"/>
        <w:rPr/>
      </w:pPr>
      <w:r>
        <w:rPr>
          <w:rFonts w:ascii="Times New Roman" w:hAnsi="Times New Roman"/>
          <w:color w:val="000000"/>
          <w:sz w:val="22"/>
          <w:u w:val="single"/>
        </w:rPr>
        <w:t>Closing Certificate</w:t>
      </w:r>
      <w:r>
        <w:rPr>
          <w:rFonts w:ascii="Times New Roman" w:hAnsi="Times New Roman"/>
          <w:color w:val="000000"/>
          <w:sz w:val="22"/>
        </w:rPr>
        <w:t xml:space="preserve">. The Administrative Agent shall have received a customary officer’s certificate, dated as of the Second Amendment Effective Date, executed by a Responsible Officer of the Borrower and attesting to the matters set forth in </w:t>
      </w:r>
      <w:r>
        <w:rPr>
          <w:rFonts w:ascii="Times New Roman" w:hAnsi="Times New Roman"/>
          <w:color w:val="000000"/>
          <w:sz w:val="22"/>
          <w:u w:val="single"/>
        </w:rPr>
        <w:t>Section 4.04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4.05</w:t>
      </w:r>
      <w:r>
        <w:rPr>
          <w:color w:val="000000"/>
        </w:rPr>
        <w:t xml:space="preserve"> </w:t>
      </w:r>
      <w:r>
        <w:rPr>
          <w:rFonts w:ascii="Times New Roman" w:hAnsi="Times New Roman"/>
          <w:color w:val="000000"/>
          <w:sz w:val="22"/>
        </w:rPr>
        <w:t xml:space="preserve">of this Amendment.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2.03</w:t>
      </w:r>
    </w:p>
    <w:p>
      <w:pPr>
        <w:pStyle w:val="TextBody"/>
        <w:bidi w:val="0"/>
        <w:spacing w:before="0" w:after="240"/>
        <w:jc w:val="both"/>
        <w:rPr/>
      </w:pPr>
      <w:r>
        <w:rPr>
          <w:rFonts w:ascii="Times New Roman" w:hAnsi="Times New Roman"/>
          <w:color w:val="000000"/>
          <w:sz w:val="22"/>
          <w:u w:val="single"/>
        </w:rPr>
        <w:t>Corporate Documents</w:t>
      </w:r>
      <w:r>
        <w:rPr>
          <w:rFonts w:ascii="Times New Roman" w:hAnsi="Times New Roman"/>
          <w:color w:val="000000"/>
          <w:sz w:val="22"/>
        </w:rPr>
        <w:t xml:space="preserve">. The Administrative Agent shall have received a certificate, dated the Second Amendment Effective Date, attaching (i) a copy of each organizational or constitutional document of each Loan Party and, to the extent applicable, certified as of a recent date by the appropriate governmental official; (ii) incumbency certificates of the officers of such Loan Party executing the Loan Documents to which it is a party as of the Second Amendment Effective Date; (iii) resolutions of the board of directors (or, if applicable, shareholders) or similar governing body of each Loan Party approving and authorizing the execution, delivery and performance of this Amendment and the other Loan Documents to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which such Loan Party is a </w:t>
      </w:r>
      <w:r>
        <w:rPr>
          <w:rFonts w:ascii="Times New Roman" w:hAnsi="Times New Roman"/>
          <w:i/>
          <w:color w:val="000000"/>
          <w:sz w:val="22"/>
        </w:rPr>
        <w:t>party</w:t>
      </w:r>
      <w:r>
        <w:rPr>
          <w:color w:val="000000"/>
        </w:rPr>
        <w:t xml:space="preserve"> </w:t>
      </w:r>
      <w:r>
        <w:rPr>
          <w:rFonts w:ascii="Times New Roman" w:hAnsi="Times New Roman"/>
          <w:color w:val="000000"/>
          <w:sz w:val="22"/>
        </w:rPr>
        <w:t>as of the Second Amendment Effective Date and certified as of the Second Amendment Effective Date by such Loan Party as being in full force and effect without modification or amendment; and (iv) a good standing certificate (to the extent such concept is known in the relevant jurisdiction) from the applicable Governmental Authority of each Loan Party’s jurisdiction of incorporation, organization or formation dated as of a recent date prior to the Second Amendment Effective Date.</w:t>
      </w:r>
      <w:r>
        <w:rPr>
          <w:color w:val="000000"/>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2.04</w:t>
      </w:r>
    </w:p>
    <w:p>
      <w:pPr>
        <w:pStyle w:val="TextBody"/>
        <w:bidi w:val="0"/>
        <w:spacing w:before="0" w:after="240"/>
        <w:jc w:val="both"/>
        <w:rPr/>
      </w:pPr>
      <w:r>
        <w:rPr>
          <w:rFonts w:ascii="Times New Roman" w:hAnsi="Times New Roman"/>
          <w:color w:val="000000"/>
          <w:sz w:val="22"/>
          <w:u w:val="single"/>
        </w:rPr>
        <w:t>Fees, Costs and Expenses</w:t>
      </w:r>
      <w:r>
        <w:rPr>
          <w:rFonts w:ascii="Times New Roman" w:hAnsi="Times New Roman"/>
          <w:color w:val="000000"/>
          <w:sz w:val="22"/>
        </w:rPr>
        <w:t>. The Administrative Agent and the Second Amendment Lead Arrangers shall have received all fees, including the Upfront Fee (as defined below) and Consent Fee (as defined below), earned, due and payable and expenses required to be paid hereunder or under separate documentation entered into on or prior to the date hereof in connection with this Amendment and all reasonable and documented out-of-pocket expenses (including reasonable and documented out-of-pocket fees and expenses of Cahill Gordon &amp; Reindel LLP) to the extent invoiced at least three (3) Business Days prior to the Second Amendment Effective Date, in each case due and payable by the Borrower pursuant to Section 9.03(a) of the Credit Agreement on or prior to the Second Amendment Effective Date.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2.05</w:t>
      </w:r>
    </w:p>
    <w:p>
      <w:pPr>
        <w:pStyle w:val="TextBody"/>
        <w:bidi w:val="0"/>
        <w:spacing w:before="0" w:after="240"/>
        <w:jc w:val="both"/>
        <w:rPr/>
      </w:pPr>
      <w:r>
        <w:rPr>
          <w:rFonts w:ascii="Times New Roman" w:hAnsi="Times New Roman"/>
          <w:color w:val="000000"/>
          <w:sz w:val="22"/>
          <w:u w:val="single"/>
        </w:rPr>
        <w:t>Know-Your-Customer</w:t>
      </w:r>
      <w:r>
        <w:rPr>
          <w:rFonts w:ascii="Times New Roman" w:hAnsi="Times New Roman"/>
          <w:color w:val="000000"/>
          <w:sz w:val="22"/>
        </w:rPr>
        <w:t>. (A) The Administrative Agent and the 2026 Incremental Revolving Lender shall have received at least one (1) day prior to the Second Amendment Effective Date, all documentation and other information with respect to the Borrower and the Guarantors required under applicable “know your customer” and anti-money laundering rules and regulations, including the USA Patriot Act, to the extent shall have reasonably requested in writing of the Borrower at least ten (10) days prior to the Second Amendment Effective Date and (B) to the extent the Borrower qualifies as a “legal entity customer” under the Beneficial Ownership Regulation, at least one (1) day prior to the Second Amendment Effective Date, any Lender that has requested, in a written notice to the Borrower at least ten (10) days prior to the Second Amendment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(B) shall be deemed to be satisfied).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2.06</w:t>
      </w:r>
    </w:p>
    <w:p>
      <w:pPr>
        <w:pStyle w:val="TextBody"/>
        <w:bidi w:val="0"/>
        <w:spacing w:before="0" w:after="240"/>
        <w:jc w:val="both"/>
        <w:rPr/>
      </w:pPr>
      <w:r>
        <w:rPr>
          <w:rFonts w:ascii="Times New Roman" w:hAnsi="Times New Roman"/>
          <w:color w:val="000000"/>
          <w:sz w:val="22"/>
          <w:u w:val="single"/>
        </w:rPr>
        <w:t>Solvency Certificate</w:t>
      </w:r>
      <w:r>
        <w:rPr>
          <w:rFonts w:ascii="Times New Roman" w:hAnsi="Times New Roman"/>
          <w:color w:val="000000"/>
          <w:sz w:val="22"/>
        </w:rPr>
        <w:t>. The Administrative Agent shall have received a Solvency Certificate.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2.07</w:t>
      </w:r>
    </w:p>
    <w:p>
      <w:pPr>
        <w:pStyle w:val="TextBody"/>
        <w:bidi w:val="0"/>
        <w:spacing w:before="0" w:after="240"/>
        <w:jc w:val="both"/>
        <w:rPr/>
      </w:pPr>
      <w:r>
        <w:rPr>
          <w:rFonts w:ascii="Times New Roman" w:hAnsi="Times New Roman"/>
          <w:color w:val="000000"/>
          <w:sz w:val="22"/>
          <w:u w:val="single"/>
        </w:rPr>
        <w:t>Legal Opinion</w:t>
      </w:r>
      <w:r>
        <w:rPr>
          <w:rFonts w:ascii="Times New Roman" w:hAnsi="Times New Roman"/>
          <w:color w:val="000000"/>
          <w:sz w:val="22"/>
        </w:rPr>
        <w:t>. The Administrative Agent shall have received, on behalf of itself and the Lenders party hereto, a customary written opinion of Kirkland &amp; Ellis LLP, as counsel to the Loan Parties, addressed to the Administrative Agent and the Lenders and dated the Second Amendment Effective Date.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2.08</w:t>
      </w:r>
    </w:p>
    <w:p>
      <w:pPr>
        <w:pStyle w:val="TextBody"/>
        <w:bidi w:val="0"/>
        <w:spacing w:before="0" w:after="240"/>
        <w:jc w:val="both"/>
        <w:rPr/>
      </w:pPr>
      <w:r>
        <w:rPr>
          <w:rFonts w:ascii="Times New Roman" w:hAnsi="Times New Roman"/>
          <w:color w:val="000000"/>
          <w:sz w:val="22"/>
          <w:u w:val="single"/>
        </w:rPr>
        <w:t>No Default</w:t>
      </w:r>
      <w:r>
        <w:rPr>
          <w:rFonts w:ascii="Times New Roman" w:hAnsi="Times New Roman"/>
          <w:color w:val="000000"/>
          <w:sz w:val="22"/>
        </w:rPr>
        <w:t>. After giving effect to this Amendment and the transactions contemplated herein, no Event of Default or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Without limiting the generality of the provisions of Section 9.02(b) of the Credit Agreement, for purposes of determining compliance with the conditions specified in this </w:t>
      </w:r>
      <w:r>
        <w:rPr>
          <w:rFonts w:ascii="Times New Roman" w:hAnsi="Times New Roman"/>
          <w:color w:val="000000"/>
          <w:sz w:val="22"/>
          <w:u w:val="single"/>
        </w:rPr>
        <w:t>Article II</w:t>
      </w:r>
      <w:r>
        <w:rPr>
          <w:rFonts w:ascii="Times New Roman" w:hAnsi="Times New Roman"/>
          <w:color w:val="000000"/>
          <w:sz w:val="22"/>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in writing prior to the proposed Second Amendment Effective Date specifying its objection thereto.</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III</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3.01</w:t>
      </w:r>
    </w:p>
    <w:p>
      <w:pPr>
        <w:pStyle w:val="TextBody"/>
        <w:bidi w:val="0"/>
        <w:spacing w:before="0" w:after="240"/>
        <w:jc w:val="both"/>
        <w:rPr/>
      </w:pPr>
      <w:r>
        <w:rPr>
          <w:rFonts w:ascii="Times New Roman" w:hAnsi="Times New Roman"/>
          <w:color w:val="000000"/>
          <w:sz w:val="22"/>
          <w:u w:val="single"/>
        </w:rPr>
        <w:t>Fees</w:t>
      </w:r>
      <w:r>
        <w:rPr>
          <w:rFonts w:ascii="Times New Roman" w:hAnsi="Times New Roman"/>
          <w:color w:val="000000"/>
          <w:sz w:val="22"/>
        </w:rPr>
        <w:t xml:space="preserve">. The Borrower agrees to pay (or cause to be paid) to the Administrative Agent, (i) for the account of each existing Lender party hereto, a consent fee in an amount equal to 0.10% of the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aggregate principal amount of such Lender’s existing Commitment in effect immediately prior to the effectiveness of the Amendment, which shall be fully earned, due and payable on the Second Amendment Effective Date (the “</w:t>
      </w:r>
      <w:r>
        <w:rPr>
          <w:rFonts w:ascii="Times New Roman" w:hAnsi="Times New Roman"/>
          <w:color w:val="000000"/>
          <w:sz w:val="22"/>
          <w:u w:val="single"/>
        </w:rPr>
        <w:t>Consent Fee</w:t>
      </w:r>
      <w:r>
        <w:rPr>
          <w:color w:val="000000"/>
        </w:rPr>
        <w:t>”</w:t>
      </w:r>
      <w:r>
        <w:rPr>
          <w:rFonts w:ascii="Times New Roman" w:hAnsi="Times New Roman"/>
          <w:color w:val="000000"/>
          <w:sz w:val="22"/>
        </w:rPr>
        <w:t>) and (ii) for the account of the 2026 Incremental Revolving Lender, an upfront fee equal to 0.25% of the aggregate principal amount of the 2026 Incremental Revolving Commitments with respect to the 2026 Incremental Revolving Facility made available to the Borrower on the Second Amendment Effective Date which shall be fully earned, due and payable on the Second Amendment Effective Date (the “</w:t>
      </w:r>
      <w:r>
        <w:rPr>
          <w:rFonts w:ascii="Times New Roman" w:hAnsi="Times New Roman"/>
          <w:color w:val="000000"/>
          <w:sz w:val="22"/>
          <w:u w:val="single"/>
        </w:rPr>
        <w:t>Upfront Fee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agree that, once paid, the fees or any part thereof earned, due and payable hereunder shall not be refundable under any circumstances (except as expressly provided herein or otherwise agreed in writing). All fees payable hereunder shall be paid in dollars in immediately available funds, shall not be subject to reduction by way of set off or counterclaim and shall be in addition to any reimbursement of all out-of-pocket expenses to the extent reimbursable hereunder. In addition, all fees shall be payable free and clear of and without deduction for any and all present or future applicable Taxes unless required by law, in which case such payment will be grossed up by you for the amount deducted, except (i) to the extent any such Taxes are imposed on or measured by net income (however denominated) as a result of any connection of the payee with the jurisdiction of such taxing authority (other than any connections arising from the execution, delivery and performance of this Amendment or from any transaction contemplated hereunder), (ii) to the extent such Tax would not have been imposed (or would have been imposed but at a lower rate) but for the failure of the payee to provide forms or other information permitting such payments to be made without (or at a reduced rate of) withholding that are reasonably requested by the Borrower and that it is legally eligible to provide, or (iii) any U.S. federal withholding tax imposed on amounts payable to or for the account of such payee pursuant to a law in effect on the Second Amendment Effective Date. The Administrative Agent may, in its sole discretion, share all or a portion of any of the fees payable hereunder with any of the other Lenders or their affiliates. The agreements in this paragraph shall survive the closing of this Amendment.</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IV</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induce (a) each Lender, the 2026 Incremental Revolving Lender and each Issuing Bank to become a party hereto and (b) the Administrative Agent, the 2026 Incremental Revolving Lender and each Lender party hereto to consent to amend the Credit Agreement in the manner provided herein and in the Amended Credit Agreement, as amended by this Amendment, each Loan Party hereby represents and warrants to the Administrative Agent, the 2026 Incremental Revolving Lender and each Lender and Issuing Bank party hereto that, as of the Second Amendment Effective Date: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4.01</w:t>
      </w:r>
    </w:p>
    <w:p>
      <w:pPr>
        <w:pStyle w:val="TextBody"/>
        <w:bidi w:val="0"/>
        <w:spacing w:before="0" w:after="240"/>
        <w:jc w:val="both"/>
        <w:rPr/>
      </w:pPr>
      <w:r>
        <w:rPr>
          <w:rFonts w:ascii="Times New Roman" w:hAnsi="Times New Roman"/>
          <w:color w:val="000000"/>
          <w:sz w:val="22"/>
          <w:u w:val="single"/>
        </w:rPr>
        <w:t>Existence, Qualification and Power; Compliance with Laws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(i) is duly organized or incorporated, validly existing and in good standing under the laws of the jurisdiction of its organization or incorporation, (ii) has all requisite organizational power and authority to carry on its business, as now materially conducted, (iii) is qualified to do business in, and is in good standing in, every jurisdiction where such qualification is required, (iv) is in compliance with all laws, regulations and orders of any Governmental Authority binding on it or its property and (v) does not require any consent or approval of, registration or filing with, or any other action by, any Governmental Authority to consummate the Amendment, except such as have been obtained or made and are in full force and effect; except in each case, referred to in clauses (i) (other than with respect to the Borrower), (ii), (iii), (iv) or (v), to the extent that failure to do so would not reasonably be expected to result in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4.02</w:t>
      </w:r>
    </w:p>
    <w:p>
      <w:pPr>
        <w:pStyle w:val="TextBody"/>
        <w:bidi w:val="0"/>
        <w:spacing w:before="0" w:after="240"/>
        <w:jc w:val="both"/>
        <w:rPr/>
      </w:pPr>
      <w:r>
        <w:rPr>
          <w:rFonts w:ascii="Times New Roman" w:hAnsi="Times New Roman"/>
          <w:color w:val="000000"/>
          <w:sz w:val="22"/>
          <w:u w:val="single"/>
        </w:rPr>
        <w:t>Authorization; No Contravention; Binding Effect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Amendment and the transactions contemplated hereby are within each Loan Party’s organizational or constitutional powers and have been duly authorized by all necessary organizational and, if required, stockholder or other equity holder action. The Amendment has been duly executed and delivered by each Loan Party and constitutes a legal, valid and binding obligation of such Loan Party, enforceable in accordance with its terms, except as such enforceability may be limited by (i) applicable bankruptcy, insolvency, reorganization, moratorium or other laws affecting creditors’ rights generally and subject to general principles of equity, regardless of whether considered in a proceeding in equity or at law, and (ii) the effect of foreign Laws, rules and regulations as they relate to pledges of Equity Interests in or Indebtedness owed by Foreign Subsidiaries.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4.03</w:t>
      </w:r>
    </w:p>
    <w:p>
      <w:pPr>
        <w:pStyle w:val="TextBody"/>
        <w:bidi w:val="0"/>
        <w:spacing w:before="0" w:after="240"/>
        <w:jc w:val="both"/>
        <w:rPr/>
      </w:pPr>
      <w:r>
        <w:rPr>
          <w:rFonts w:ascii="Times New Roman" w:hAnsi="Times New Roman"/>
          <w:color w:val="000000"/>
          <w:sz w:val="22"/>
          <w:u w:val="single"/>
        </w:rPr>
        <w:t>Solvency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the Second Amendment Effective Date, after giving effect to this Amendment, the Borrower and its Subsidiaries, on a consolidated basis, are Solvent.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4.04</w:t>
      </w:r>
    </w:p>
    <w:p>
      <w:pPr>
        <w:pStyle w:val="TextBody"/>
        <w:bidi w:val="0"/>
        <w:spacing w:before="0" w:after="240"/>
        <w:jc w:val="both"/>
        <w:rPr/>
      </w:pPr>
      <w:r>
        <w:rPr>
          <w:rFonts w:ascii="Times New Roman" w:hAnsi="Times New Roman"/>
          <w:color w:val="000000"/>
          <w:sz w:val="22"/>
          <w:u w:val="single"/>
        </w:rPr>
        <w:t>Other Representations and Warranties</w:t>
      </w:r>
      <w:r>
        <w:rPr>
          <w:rFonts w:ascii="Times New Roman" w:hAnsi="Times New Roman"/>
          <w:color w:val="000000"/>
          <w:sz w:val="22"/>
        </w:rPr>
        <w:t>. The representations and warranties of each Loan Party and each Subsidiary set forth in the Credit Agreement or the other Loan Documents are true and correct in all material respects (except that such materiality qualifier does not apply to any representation or warranty to the extent that it is already qualified or modified by materiality in the text thereof) on and as of the Second Amendment Effective Date (except to the extent any such representation or warranty expressly relates to an earlier date, in which case, such representation or warranty is true and correct in all materials respects (or all respects, as applicable) as of such earlier date).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4.05</w:t>
      </w:r>
    </w:p>
    <w:p>
      <w:pPr>
        <w:pStyle w:val="TextBody"/>
        <w:bidi w:val="0"/>
        <w:spacing w:before="0" w:after="240"/>
        <w:jc w:val="both"/>
        <w:rPr/>
      </w:pPr>
      <w:r>
        <w:rPr>
          <w:rFonts w:ascii="Times New Roman" w:hAnsi="Times New Roman"/>
          <w:color w:val="000000"/>
          <w:sz w:val="22"/>
          <w:u w:val="single"/>
        </w:rPr>
        <w:t>No Event of Default</w:t>
      </w:r>
      <w:r>
        <w:rPr>
          <w:rFonts w:ascii="Times New Roman" w:hAnsi="Times New Roman"/>
          <w:color w:val="000000"/>
          <w:sz w:val="22"/>
        </w:rPr>
        <w:t>. No Default or Event of Default exists and is continuing, or would result from, the effectiveness of this Amendment.</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V</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MISCELLANEOUS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5.01</w:t>
      </w:r>
    </w:p>
    <w:p>
      <w:pPr>
        <w:pStyle w:val="TextBody"/>
        <w:bidi w:val="0"/>
        <w:spacing w:before="0" w:after="240"/>
        <w:jc w:val="both"/>
        <w:rPr/>
      </w:pPr>
      <w:r>
        <w:rPr>
          <w:rFonts w:ascii="Times New Roman" w:hAnsi="Times New Roman"/>
          <w:color w:val="000000"/>
          <w:sz w:val="22"/>
          <w:u w:val="single"/>
        </w:rPr>
        <w:t>Execution of this Amendment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is executed and shall be construed as an amendment to the Credit Agreement, and, as provided in the Credit Agreement, this Amendment forms a part thereof. The Loan Parties and the other parties hereto acknowledge that this Amendment shall constitute a “Loan Document” for all purposes of the Credit Agreement and the other Loan Documents.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5.02</w:t>
      </w:r>
    </w:p>
    <w:p>
      <w:pPr>
        <w:pStyle w:val="TextBody"/>
        <w:bidi w:val="0"/>
        <w:spacing w:before="0" w:after="240"/>
        <w:jc w:val="both"/>
        <w:rPr/>
      </w:pPr>
      <w:r>
        <w:rPr>
          <w:rFonts w:ascii="Times New Roman" w:hAnsi="Times New Roman"/>
          <w:color w:val="000000"/>
          <w:sz w:val="22"/>
          <w:u w:val="single"/>
        </w:rPr>
        <w:t>No Waiver; Effect on Loan Documents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is made in modification of, but not extinguishment of, the obligations set forth in the Credit Agreement and, except as specifically modified pursuant to the terms of this Amendment, the terms and conditions of the Credit Agreement remain in full force and effect. Nothing herein shall limit in any way the rights and remedies of the Administrative Agent and the Secured Parties under the Credit Agreement and the Loan Documents. Except to the extent permitted or provided for herein, the execution, delivery and performance by the Administrative Agent and the Lenders party hereto of this Amendment shall not constitute a waiver, forbearance or other indulgence with respect to any Default or Event of Default now existing or hereafter arising or in any way limit, impair or otherwise affect the rights and remedies of the Administrative Agent or the Lenders under the Loan Documents.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5.03</w:t>
      </w:r>
    </w:p>
    <w:p>
      <w:pPr>
        <w:pStyle w:val="TextBody"/>
        <w:bidi w:val="0"/>
        <w:spacing w:before="0" w:after="240"/>
        <w:jc w:val="both"/>
        <w:rPr/>
      </w:pPr>
      <w:r>
        <w:rPr>
          <w:rFonts w:ascii="Times New Roman" w:hAnsi="Times New Roman"/>
          <w:color w:val="000000"/>
          <w:sz w:val="22"/>
          <w:u w:val="single"/>
        </w:rPr>
        <w:t>Counterparts; Integration; Effectiveness; Electronic Execution</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 any and all previous agreements and understandings, oral or written, relating to the subject matter hereof. Except as provided in Article II, this Amendment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Amendment that is an Electronic Signature transmitted by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5.04</w:t>
      </w:r>
    </w:p>
    <w:p>
      <w:pPr>
        <w:pStyle w:val="TextBody"/>
        <w:bidi w:val="0"/>
        <w:spacing w:before="0" w:after="240"/>
        <w:jc w:val="both"/>
        <w:rPr/>
      </w:pPr>
      <w:r>
        <w:rPr>
          <w:rFonts w:ascii="Times New Roman" w:hAnsi="Times New Roman"/>
          <w:color w:val="000000"/>
          <w:sz w:val="22"/>
          <w:u w:val="single"/>
        </w:rPr>
        <w:t>Governing Law; Jurisdiction; Waiver of Jury Trial, Etc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provisions of Sections 9.09 and 9.10 of the Credit Agreement shall apply to this Amendment,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5.05</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5.06</w:t>
      </w:r>
    </w:p>
    <w:p>
      <w:pPr>
        <w:pStyle w:val="TextBody"/>
        <w:bidi w:val="0"/>
        <w:spacing w:before="0" w:after="240"/>
        <w:jc w:val="both"/>
        <w:rPr/>
      </w:pPr>
      <w:r>
        <w:rPr>
          <w:rFonts w:ascii="Times New Roman" w:hAnsi="Times New Roman"/>
          <w:color w:val="000000"/>
          <w:sz w:val="22"/>
          <w:u w:val="single"/>
        </w:rPr>
        <w:t>Headings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Article and Section headings used herein are for convenience of reference only, are not part of this Amendment and shall not affect the construction of, or be taken into consideration in interpreting, this Amendment.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5.07</w:t>
      </w:r>
    </w:p>
    <w:p>
      <w:pPr>
        <w:pStyle w:val="TextBody"/>
        <w:bidi w:val="0"/>
        <w:spacing w:before="0" w:after="240"/>
        <w:jc w:val="both"/>
        <w:rPr/>
      </w:pPr>
      <w:r>
        <w:rPr>
          <w:rFonts w:ascii="Times New Roman" w:hAnsi="Times New Roman"/>
          <w:color w:val="000000"/>
          <w:sz w:val="22"/>
          <w:u w:val="single"/>
        </w:rPr>
        <w:t>Reaffirmation of Obligations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Loan Party, subject in all respects to the terms and limits contained herein, the Credit Agreement, as amended by this Amendment and in each other Loan Document, (a) has incurred or guaranteed the Secured Obligations and/or Guaranteed Obligations (collectively, the “Obligations”), and all of its Obligations, including all Secured Obligations (as defined in Exhibit A) shall remain in full force and effect on a continuous basis after giving effect to this Amendment, (b) acknowledges and agrees that nothing in this Amendment shall constitute a novation or termination of such Obligations and (c) has created Liens and security interests in favor of the Administrative Agent on certain of its Collateral to secure its Obligations pursuant to the Loan Documents. Each Loan Party hereby acknowledges that it has reviewed the terms and provisions of this Amendment and consents to this Amendment. Each Loan Party hereby confirms that each Loan Document to which it is a party or is otherwise bound, including the Loan Guaranty, remains in full force and effect and the security interests granted on all Collateral encumbered by the Loan Documents will continue to secure, to the fullest extent possible in accordance with the Loan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Documents, the Obligations, including all Secured Obligations (as defined in Exhibit A), including without limitation the payment of all such applicable Obligations that are joint and several obligations of each Loan Party now or hereafter existing.</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5.08</w:t>
      </w:r>
    </w:p>
    <w:p>
      <w:pPr>
        <w:pStyle w:val="TextBody"/>
        <w:bidi w:val="0"/>
        <w:spacing w:before="0" w:after="240"/>
        <w:jc w:val="both"/>
        <w:rPr/>
      </w:pPr>
      <w:r>
        <w:rPr>
          <w:rFonts w:ascii="Times New Roman" w:hAnsi="Times New Roman"/>
          <w:color w:val="000000"/>
          <w:sz w:val="22"/>
          <w:u w:val="single"/>
        </w:rPr>
        <w:t>Entire Agreement; Loan Document</w:t>
      </w:r>
      <w:r>
        <w:rPr>
          <w:rFonts w:ascii="Times New Roman" w:hAnsi="Times New Roman"/>
          <w:color w:val="000000"/>
          <w:sz w:val="22"/>
        </w:rPr>
        <w:t>. This Amendment, the other Loan Documents and any separate letter agreements with respect to fees payable constitute the entire agreement among the parties relating to the subject matter hereof and supersede any and all previous agreements and understandings, oral or written, relating to the subject matter hereof. On and after the Second Amendment Effective Date, each reference in the Credit Agreement to “this Agreement,” “hereunder,” “hereof” or words of like import referring the Credit Agreement, and each reference in the other Loan Documents to “the Credit Agreement,” “thereunder,” “thereof” or words of like import referring to the Credit Agreement, shall mean and be a reference to the Credit Agreement, as amended by this Amendment. On and after the Second Amendment Effective Date, this Amendment shall constitute a “Loan Document” for all purposes of the Credit Agreement and the other Loan Documents</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caused this Amendment to be duly executed and delivered by their respective officers thereunto duly authorized as of the date first written above.</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2"/>
          <w:u w:val="single"/>
        </w:rPr>
        <w:t>BORROWER</w:t>
      </w:r>
      <w:r>
        <w:rPr>
          <w:rFonts w:ascii="Times New Roman" w:hAnsi="Times New Roman"/>
          <w:caps/>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FIREFLY AEROSPACE INC.</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/s/Darren Ma </w:t>
      </w:r>
    </w:p>
    <w:p>
      <w:pPr>
        <w:pStyle w:val="TextBody"/>
        <w:bidi w:val="0"/>
        <w:jc w:val="left"/>
        <w:rPr>
          <w:rFonts w:ascii="Times New Roman" w:hAnsi="Times New Roman"/>
          <w:color w:val="000000"/>
          <w:sz w:val="22"/>
        </w:rPr>
      </w:pPr>
      <w:r>
        <w:rPr>
          <w:rFonts w:ascii="Times New Roman" w:hAnsi="Times New Roman"/>
          <w:color w:val="000000"/>
          <w:sz w:val="22"/>
        </w:rPr>
        <w:t>Name: Darren Ma</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2"/>
          <w:u w:val="single"/>
        </w:rPr>
        <w:t>GUARANTORS</w:t>
      </w:r>
      <w:r>
        <w:rPr>
          <w:rFonts w:ascii="Times New Roman" w:hAnsi="Times New Roman"/>
          <w:caps/>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FIREFLY SPACE TRANSPORT SERVICES, LLC</w:t>
      </w:r>
    </w:p>
    <w:p>
      <w:pPr>
        <w:pStyle w:val="TextBody"/>
        <w:bidi w:val="0"/>
        <w:jc w:val="left"/>
        <w:rPr>
          <w:rFonts w:ascii="Times New Roman" w:hAnsi="Times New Roman"/>
          <w:sz w:val="20"/>
        </w:rPr>
      </w:pPr>
      <w:r>
        <w:rPr>
          <w:rFonts w:ascii="Times New Roman" w:hAnsi="Times New Roman"/>
          <w:color w:val="000000"/>
          <w:sz w:val="22"/>
        </w:rPr>
        <w:t>By: Firefly Aerospace Inc.</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Its: Member</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/s/Darren Ma </w:t>
      </w:r>
    </w:p>
    <w:p>
      <w:pPr>
        <w:pStyle w:val="TextBody"/>
        <w:bidi w:val="0"/>
        <w:jc w:val="left"/>
        <w:rPr>
          <w:rFonts w:ascii="Times New Roman" w:hAnsi="Times New Roman"/>
          <w:color w:val="000000"/>
          <w:sz w:val="22"/>
        </w:rPr>
      </w:pPr>
      <w:r>
        <w:rPr>
          <w:rFonts w:ascii="Times New Roman" w:hAnsi="Times New Roman"/>
          <w:color w:val="000000"/>
          <w:sz w:val="22"/>
        </w:rPr>
        <w:t>Name: Darren Ma</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FIREFLY RESEARCH, INC.</w:t>
      </w:r>
    </w:p>
    <w:p>
      <w:pPr>
        <w:pStyle w:val="TextBody"/>
        <w:bidi w:val="0"/>
        <w:jc w:val="both"/>
        <w:rPr>
          <w:rFonts w:ascii="Times New Roman" w:hAnsi="Times New Roman"/>
          <w:color w:val="000000"/>
          <w:sz w:val="22"/>
        </w:rPr>
      </w:pPr>
      <w:r>
        <w:rPr>
          <w:rFonts w:ascii="Times New Roman" w:hAnsi="Times New Roman"/>
          <w:color w:val="000000"/>
          <w:sz w:val="22"/>
        </w:rPr>
        <w:t>BIG BEND FW MERGER SUB, LLC</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/s/Darren Ma </w:t>
      </w:r>
    </w:p>
    <w:p>
      <w:pPr>
        <w:pStyle w:val="TextBody"/>
        <w:bidi w:val="0"/>
        <w:jc w:val="left"/>
        <w:rPr>
          <w:rFonts w:ascii="Times New Roman" w:hAnsi="Times New Roman"/>
          <w:color w:val="000000"/>
          <w:sz w:val="22"/>
        </w:rPr>
      </w:pPr>
      <w:r>
        <w:rPr>
          <w:rFonts w:ascii="Times New Roman" w:hAnsi="Times New Roman"/>
          <w:color w:val="000000"/>
          <w:sz w:val="22"/>
        </w:rPr>
        <w:t xml:space="preserve">Name: Darren Ma </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SCITEC INNOVATIONS, LLC</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James Lisowski </w:t>
      </w:r>
    </w:p>
    <w:p>
      <w:pPr>
        <w:pStyle w:val="TextBody"/>
        <w:bidi w:val="0"/>
        <w:jc w:val="left"/>
        <w:rPr>
          <w:rFonts w:ascii="Times New Roman" w:hAnsi="Times New Roman"/>
          <w:color w:val="000000"/>
          <w:sz w:val="22"/>
        </w:rPr>
      </w:pPr>
      <w:r>
        <w:rPr>
          <w:rFonts w:ascii="Times New Roman" w:hAnsi="Times New Roman"/>
          <w:color w:val="000000"/>
          <w:sz w:val="22"/>
        </w:rPr>
        <w:t>Name: James Lisowski</w:t>
      </w:r>
    </w:p>
    <w:p>
      <w:pPr>
        <w:pStyle w:val="TextBody"/>
        <w:bidi w:val="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[Firefly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WELLS FARGO BANK, NATIONAL ASSOCIATION, as Administrative Agent, Issuing Bank, Lender and Swingline Lender</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/s/Tanner Ketellapper </w:t>
      </w:r>
    </w:p>
    <w:p>
      <w:pPr>
        <w:pStyle w:val="TextBody"/>
        <w:bidi w:val="0"/>
        <w:jc w:val="left"/>
        <w:rPr>
          <w:rFonts w:ascii="Times New Roman" w:hAnsi="Times New Roman"/>
          <w:color w:val="000000"/>
          <w:sz w:val="22"/>
        </w:rPr>
      </w:pPr>
      <w:r>
        <w:rPr>
          <w:rFonts w:ascii="Times New Roman" w:hAnsi="Times New Roman"/>
          <w:color w:val="000000"/>
          <w:sz w:val="22"/>
        </w:rPr>
        <w:t>Name: Tanner Ketellapper</w:t>
      </w:r>
    </w:p>
    <w:p>
      <w:pPr>
        <w:pStyle w:val="TextBody"/>
        <w:bidi w:val="0"/>
        <w:jc w:val="left"/>
        <w:rPr>
          <w:rFonts w:ascii="Times New Roman" w:hAnsi="Times New Roman"/>
          <w:color w:val="000000"/>
          <w:sz w:val="22"/>
        </w:rPr>
      </w:pPr>
      <w:r>
        <w:rPr>
          <w:rFonts w:ascii="Times New Roman" w:hAnsi="Times New Roman"/>
          <w:color w:val="000000"/>
          <w:sz w:val="22"/>
        </w:rPr>
        <w:t>Title: Executive Director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[Firefly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u w:val="single"/>
        </w:rPr>
        <w:t>LENDER AND ISSUING BANK</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JPMORGAN CHASE BANK, N.A., as Lender and Issuing Bank</w:t>
      </w:r>
    </w:p>
    <w:p>
      <w:pPr>
        <w:pStyle w:val="TextBody"/>
        <w:bidi w:val="0"/>
        <w:jc w:val="left"/>
        <w:rPr/>
      </w:pPr>
      <w:r>
        <w:rPr/>
        <w:t> </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Elizabeth O’Conor </w:t>
      </w:r>
    </w:p>
    <w:p>
      <w:pPr>
        <w:pStyle w:val="TextBody"/>
        <w:bidi w:val="0"/>
        <w:jc w:val="left"/>
        <w:rPr>
          <w:rFonts w:ascii="Times New Roman" w:hAnsi="Times New Roman"/>
          <w:color w:val="000000"/>
          <w:sz w:val="22"/>
        </w:rPr>
      </w:pPr>
      <w:r>
        <w:rPr>
          <w:rFonts w:ascii="Times New Roman" w:hAnsi="Times New Roman"/>
          <w:color w:val="000000"/>
          <w:sz w:val="22"/>
        </w:rPr>
        <w:t>Name: Elizabeth O’Conor</w:t>
      </w:r>
    </w:p>
    <w:p>
      <w:pPr>
        <w:pStyle w:val="TextBody"/>
        <w:bidi w:val="0"/>
        <w:jc w:val="left"/>
        <w:rPr>
          <w:rFonts w:ascii="Times New Roman" w:hAnsi="Times New Roman"/>
          <w:color w:val="000000"/>
          <w:sz w:val="22"/>
        </w:rPr>
      </w:pPr>
      <w:r>
        <w:rPr>
          <w:rFonts w:ascii="Times New Roman" w:hAnsi="Times New Roman"/>
          <w:color w:val="000000"/>
          <w:sz w:val="22"/>
        </w:rPr>
        <w:t>Title: Authorized Officer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[Firefly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GOLDMAN SACHS LENDING PARTNERS LLC, as Lender and Issuing Bank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Roopa Chandra </w:t>
      </w:r>
    </w:p>
    <w:p>
      <w:pPr>
        <w:pStyle w:val="TextBody"/>
        <w:bidi w:val="0"/>
        <w:jc w:val="left"/>
        <w:rPr>
          <w:rFonts w:ascii="Times New Roman" w:hAnsi="Times New Roman"/>
          <w:color w:val="000000"/>
          <w:sz w:val="22"/>
        </w:rPr>
      </w:pPr>
      <w:r>
        <w:rPr>
          <w:rFonts w:ascii="Times New Roman" w:hAnsi="Times New Roman"/>
          <w:color w:val="000000"/>
          <w:sz w:val="22"/>
        </w:rPr>
        <w:t>Name: Roopa Chandra</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[Firefly - Signature Page to Second Amendment to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2"/>
        </w:rPr>
        <w:t>FIFTH THIRD BANK, N.A., successor by merger to Comerica Bank, as a Lender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Mohammad Naqvi </w:t>
      </w:r>
    </w:p>
    <w:p>
      <w:pPr>
        <w:pStyle w:val="TextBody"/>
        <w:bidi w:val="0"/>
        <w:jc w:val="left"/>
        <w:rPr>
          <w:rFonts w:ascii="Times New Roman" w:hAnsi="Times New Roman"/>
          <w:color w:val="000000"/>
          <w:sz w:val="22"/>
        </w:rPr>
      </w:pPr>
      <w:r>
        <w:rPr>
          <w:rFonts w:ascii="Times New Roman" w:hAnsi="Times New Roman"/>
          <w:color w:val="000000"/>
          <w:sz w:val="22"/>
        </w:rPr>
        <w:t>Name: Mohammad Naqvi</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2"/>
        </w:rPr>
        <w:t>TEXAS CAPITAL BANK, as a Lender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Beattie Beau </w:t>
      </w:r>
    </w:p>
    <w:p>
      <w:pPr>
        <w:pStyle w:val="TextBody"/>
        <w:bidi w:val="0"/>
        <w:jc w:val="left"/>
        <w:rPr>
          <w:rFonts w:ascii="Times New Roman" w:hAnsi="Times New Roman"/>
          <w:color w:val="000000"/>
          <w:sz w:val="22"/>
        </w:rPr>
      </w:pPr>
      <w:r>
        <w:rPr>
          <w:rFonts w:ascii="Times New Roman" w:hAnsi="Times New Roman"/>
          <w:color w:val="000000"/>
          <w:sz w:val="22"/>
        </w:rPr>
        <w:t>Name: Beattie Beau</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FIRST-CITIZENS BANK &amp; TRUST COMPANY, as 2026 Incremental Revolving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Haley Dotter </w:t>
      </w:r>
    </w:p>
    <w:p>
      <w:pPr>
        <w:pStyle w:val="TextBody"/>
        <w:bidi w:val="0"/>
        <w:jc w:val="left"/>
        <w:rPr>
          <w:rFonts w:ascii="Times New Roman" w:hAnsi="Times New Roman"/>
          <w:color w:val="000000"/>
          <w:sz w:val="22"/>
        </w:rPr>
      </w:pPr>
      <w:r>
        <w:rPr>
          <w:rFonts w:ascii="Times New Roman" w:hAnsi="Times New Roman"/>
          <w:color w:val="000000"/>
          <w:sz w:val="22"/>
        </w:rPr>
        <w:t>Name: Haley Dotter</w:t>
      </w:r>
    </w:p>
    <w:p>
      <w:pPr>
        <w:pStyle w:val="TextBody"/>
        <w:bidi w:val="0"/>
        <w:jc w:val="left"/>
        <w:rPr>
          <w:rFonts w:ascii="Times New Roman" w:hAnsi="Times New Roman"/>
          <w:color w:val="000000"/>
          <w:sz w:val="22"/>
        </w:rPr>
      </w:pPr>
      <w:r>
        <w:rPr>
          <w:rFonts w:ascii="Times New Roman" w:hAnsi="Times New Roman"/>
          <w:color w:val="000000"/>
          <w:sz w:val="22"/>
        </w:rPr>
        <w:t>Title: Vice President, Corporate Bankin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EXHIBIT A</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EXHIBIT A</w:t>
      </w:r>
    </w:p>
    <w:p>
      <w:pPr>
        <w:pStyle w:val="TextBody"/>
        <w:bidi w:val="0"/>
        <w:jc w:val="right"/>
        <w:rPr>
          <w:rFonts w:ascii="Times New Roman" w:hAnsi="Times New Roman"/>
          <w:sz w:val="20"/>
        </w:rPr>
      </w:pPr>
      <w:r>
        <w:rPr>
          <w:rFonts w:ascii="Times New Roman" w:hAnsi="Times New Roman"/>
          <w:b/>
          <w:i/>
          <w:color w:val="000000"/>
          <w:sz w:val="22"/>
        </w:rPr>
        <w:t xml:space="preserve">CONFORMED THROUGH </w:t>
      </w:r>
      <w:r>
        <w:rPr>
          <w:rFonts w:ascii="Times New Roman" w:hAnsi="Times New Roman"/>
          <w:b/>
          <w:i/>
          <w:strike/>
          <w:color w:val="FF0000"/>
          <w:sz w:val="22"/>
        </w:rPr>
        <w:t>FIRST</w:t>
      </w:r>
      <w:r>
        <w:rPr>
          <w:rFonts w:ascii="Times New Roman" w:hAnsi="Times New Roman"/>
          <w:b/>
          <w:i/>
          <w:color w:val="0000FF"/>
          <w:sz w:val="22"/>
          <w:u w:val="single"/>
        </w:rPr>
        <w:t>SECOND</w:t>
      </w:r>
      <w:r>
        <w:rPr>
          <w:rFonts w:ascii="Times New Roman" w:hAnsi="Times New Roman"/>
          <w:color w:val="000000"/>
          <w:sz w:val="20"/>
        </w:rPr>
        <w:t xml:space="preserve"> </w:t>
      </w:r>
      <w:r>
        <w:rPr>
          <w:rFonts w:ascii="Times New Roman" w:hAnsi="Times New Roman"/>
          <w:b/>
          <w:i/>
          <w:color w:val="000000"/>
          <w:sz w:val="22"/>
        </w:rPr>
        <w:t>AMENDMENT TO CREDIT AGREEMENT</w:t>
      </w:r>
    </w:p>
    <w:p>
      <w:pPr>
        <w:pStyle w:val="TextBody"/>
        <w:bidi w:val="0"/>
        <w:spacing w:before="0" w:after="240"/>
        <w:jc w:val="center"/>
        <w:rPr/>
      </w:pPr>
      <w:r>
        <w:rPr/>
        <w:t> </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CREDIT AGREEMENT</w:t>
      </w:r>
    </w:p>
    <w:p>
      <w:pPr>
        <w:pStyle w:val="TextBody"/>
        <w:pBdr>
          <w:top w:val="double" w:sz="6" w:space="1" w:color="000000"/>
        </w:pBdr>
        <w:bidi w:val="0"/>
        <w:spacing w:before="0" w:after="720"/>
        <w:jc w:val="both"/>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2"/>
        </w:rPr>
        <w:t>CREDIT AGREEMENT</w:t>
        <w:br/>
        <w:br/>
      </w:r>
      <w:r>
        <w:rPr>
          <w:rFonts w:ascii="Times New Roman" w:hAnsi="Times New Roman"/>
          <w:color w:val="000000"/>
          <w:sz w:val="22"/>
        </w:rPr>
        <w:t>dated as of</w:t>
      </w:r>
      <w:r>
        <w:rPr>
          <w:rFonts w:ascii="Times New Roman" w:hAnsi="Times New Roman"/>
          <w:caps/>
          <w:color w:val="000000"/>
          <w:sz w:val="20"/>
        </w:rPr>
        <w:t xml:space="preserve"> </w:t>
      </w:r>
      <w:r>
        <w:rPr>
          <w:rFonts w:ascii="Times New Roman" w:hAnsi="Times New Roman"/>
          <w:caps/>
          <w:color w:val="000000"/>
          <w:sz w:val="22"/>
        </w:rPr>
        <w:br/>
        <w:br/>
      </w:r>
      <w:r>
        <w:rPr>
          <w:rFonts w:ascii="Times New Roman" w:hAnsi="Times New Roman"/>
          <w:color w:val="000000"/>
          <w:sz w:val="22"/>
        </w:rPr>
        <w:t xml:space="preserve">August 8, 2025 </w:t>
        <w:br/>
        <w:br/>
        <w:t>among</w:t>
      </w:r>
    </w:p>
    <w:p>
      <w:pPr>
        <w:pStyle w:val="TextBody"/>
        <w:bidi w:val="0"/>
        <w:spacing w:before="0" w:after="240"/>
        <w:jc w:val="center"/>
        <w:rPr>
          <w:rFonts w:ascii="Times New Roman" w:hAnsi="Times New Roman"/>
          <w:sz w:val="20"/>
        </w:rPr>
      </w:pPr>
      <w:r>
        <w:rPr>
          <w:rFonts w:ascii="Times New Roman" w:hAnsi="Times New Roman"/>
          <w:caps/>
          <w:color w:val="000000"/>
          <w:sz w:val="22"/>
        </w:rPr>
        <w:t xml:space="preserve">FIREFLY AEROSPACE INC., </w:t>
        <w:br/>
      </w:r>
      <w:r>
        <w:rPr>
          <w:rFonts w:ascii="Times New Roman" w:hAnsi="Times New Roman"/>
          <w:color w:val="000000"/>
          <w:sz w:val="22"/>
        </w:rPr>
        <w:t>as the Borrower,</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THE OTHER LOAN PARTIES PARTY HERETO,</w:t>
        <w:br/>
        <w:br/>
        <w:t>THE LENDERS PARTY HERETO,</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240"/>
        <w:jc w:val="center"/>
        <w:rPr>
          <w:rFonts w:ascii="Times New Roman" w:hAnsi="Times New Roman"/>
          <w:sz w:val="20"/>
        </w:rPr>
      </w:pPr>
      <w:r>
        <w:rPr>
          <w:rFonts w:ascii="Times New Roman" w:hAnsi="Times New Roman"/>
          <w:caps/>
          <w:color w:val="000000"/>
          <w:sz w:val="22"/>
        </w:rPr>
        <w:t>WELLS FARGO BANK, NATIONAL ASSOCIATION,</w:t>
        <w:br/>
      </w:r>
      <w:r>
        <w:rPr>
          <w:rFonts w:ascii="Times New Roman" w:hAnsi="Times New Roman"/>
          <w:color w:val="000000"/>
          <w:sz w:val="22"/>
        </w:rPr>
        <w:t>as Administrative Agent</w:t>
      </w:r>
    </w:p>
    <w:p>
      <w:pPr>
        <w:pStyle w:val="TextBody"/>
        <w:bidi w:val="0"/>
        <w:jc w:val="center"/>
        <w:rPr>
          <w:rFonts w:ascii="Times New Roman" w:hAnsi="Times New Roman"/>
          <w:sz w:val="20"/>
        </w:rPr>
      </w:pPr>
      <w:r>
        <w:rPr>
          <w:rFonts w:ascii="Times New Roman" w:hAnsi="Times New Roman"/>
          <w:caps/>
          <w:color w:val="000000"/>
          <w:sz w:val="22"/>
        </w:rPr>
        <w:t>JPMORGAN CHASE BANK, N.A.</w:t>
      </w:r>
      <w:r>
        <w:rPr>
          <w:rFonts w:ascii="Times New Roman" w:hAnsi="Times New Roman"/>
          <w:caps/>
          <w:strike/>
          <w:color w:val="FF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caps/>
          <w:color w:val="0000FF"/>
          <w:sz w:val="22"/>
          <w:u w:val="single"/>
        </w:rPr>
      </w:pPr>
      <w:r>
        <w:rPr>
          <w:rFonts w:ascii="Times New Roman" w:hAnsi="Times New Roman"/>
          <w:caps/>
          <w:color w:val="0000FF"/>
          <w:sz w:val="22"/>
          <w:u w:val="single"/>
        </w:rPr>
        <w:t>Wells fargo securities, llc,</w:t>
      </w:r>
    </w:p>
    <w:p>
      <w:pPr>
        <w:pStyle w:val="TextBody"/>
        <w:bidi w:val="0"/>
        <w:jc w:val="center"/>
        <w:rPr>
          <w:rFonts w:ascii="Times New Roman" w:hAnsi="Times New Roman"/>
          <w:color w:val="0000FF"/>
          <w:sz w:val="22"/>
          <w:u w:val="single"/>
        </w:rPr>
      </w:pPr>
      <w:r>
        <w:rPr>
          <w:rFonts w:ascii="Times New Roman" w:hAnsi="Times New Roman"/>
          <w:color w:val="0000FF"/>
          <w:sz w:val="22"/>
          <w:u w:val="single"/>
        </w:rPr>
        <w:t>as Second Amendment Lead Arrangers</w:t>
      </w:r>
    </w:p>
    <w:p>
      <w:pPr>
        <w:pStyle w:val="TextBody"/>
        <w:bidi w:val="0"/>
        <w:jc w:val="center"/>
        <w:rPr>
          <w:rFonts w:ascii="Times New Roman" w:hAnsi="Times New Roman"/>
          <w:sz w:val="20"/>
        </w:rPr>
      </w:pPr>
      <w:r>
        <w:rPr>
          <w:rFonts w:ascii="Times New Roman" w:hAnsi="Times New Roman"/>
          <w:color w:val="0000FF"/>
          <w:sz w:val="22"/>
          <w:u w:val="single"/>
        </w:rPr>
        <w:br/>
      </w:r>
      <w:r>
        <w:rPr>
          <w:rFonts w:ascii="Times New Roman" w:hAnsi="Times New Roman"/>
          <w:caps/>
          <w:color w:val="0000FF"/>
          <w:sz w:val="22"/>
          <w:u w:val="single"/>
        </w:rPr>
        <w:t>JPMORGAN CHASE BANK, N.A.</w:t>
      </w:r>
    </w:p>
    <w:p>
      <w:pPr>
        <w:pStyle w:val="TextBody"/>
        <w:bidi w:val="0"/>
        <w:jc w:val="center"/>
        <w:rPr>
          <w:rFonts w:ascii="Times New Roman" w:hAnsi="Times New Roman"/>
          <w:color w:val="0000FF"/>
          <w:sz w:val="22"/>
          <w:u w:val="single"/>
        </w:rPr>
      </w:pPr>
      <w:r>
        <w:rPr>
          <w:rFonts w:ascii="Times New Roman" w:hAnsi="Times New Roman"/>
          <w:color w:val="0000FF"/>
          <w:sz w:val="22"/>
          <w:u w:val="single"/>
        </w:rPr>
        <w:t>and</w:t>
      </w:r>
    </w:p>
    <w:p>
      <w:pPr>
        <w:pStyle w:val="TextBody"/>
        <w:bidi w:val="0"/>
        <w:jc w:val="center"/>
        <w:rPr>
          <w:rFonts w:ascii="Times New Roman" w:hAnsi="Times New Roman"/>
          <w:sz w:val="20"/>
        </w:rPr>
      </w:pPr>
      <w:r>
        <w:rPr>
          <w:rFonts w:ascii="Times New Roman" w:hAnsi="Times New Roman"/>
          <w:caps/>
          <w:color w:val="000000"/>
          <w:sz w:val="22"/>
        </w:rPr>
        <w:t xml:space="preserve">WELLS FARGO SECURITIES, LLC, </w:t>
        <w:br/>
      </w:r>
      <w:r>
        <w:rPr>
          <w:rFonts w:ascii="Times New Roman" w:hAnsi="Times New Roman"/>
          <w:color w:val="000000"/>
          <w:sz w:val="22"/>
        </w:rPr>
        <w:t>as First Amendment Lead Arrangers</w:t>
      </w:r>
      <w:r>
        <w:rPr>
          <w:rFonts w:ascii="Times New Roman" w:hAnsi="Times New Roman"/>
          <w:strike/>
          <w:color w:val="FF0000"/>
          <w:sz w:val="22"/>
        </w:rPr>
        <w:br/>
      </w:r>
      <w:r>
        <w:rPr>
          <w:rFonts w:ascii="Times New Roman" w:hAnsi="Times New Roman"/>
          <w:strike/>
          <w:color w:val="FF0000"/>
          <w:sz w:val="20"/>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GOLDMAN SACHS LENDING PARTNERS LLC,</w:t>
        <w:br/>
        <w:t>as First Amendment Syndication Agent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2"/>
        </w:rPr>
        <w:t xml:space="preserve">WELLS FARGO SECURITIES, LLC, </w:t>
        <w:br/>
        <w:t xml:space="preserve">JPMORGAN CHASE BANK, N.A., </w:t>
        <w:br/>
      </w:r>
      <w:r>
        <w:rPr>
          <w:rFonts w:ascii="Times New Roman" w:hAnsi="Times New Roman"/>
          <w:color w:val="000000"/>
          <w:sz w:val="22"/>
        </w:rPr>
        <w:t>and</w:t>
      </w:r>
      <w:r>
        <w:rPr>
          <w:rFonts w:ascii="Times New Roman" w:hAnsi="Times New Roman"/>
          <w:caps/>
          <w:color w:val="000000"/>
          <w:sz w:val="22"/>
        </w:rPr>
        <w:br/>
        <w:t>Goldman Sachs Lending Partners LLC,</w:t>
        <w:br/>
      </w:r>
      <w:r>
        <w:rPr>
          <w:rFonts w:ascii="Times New Roman" w:hAnsi="Times New Roman"/>
          <w:color w:val="000000"/>
          <w:sz w:val="22"/>
        </w:rPr>
        <w:t>as Joint Lead Arrangers as of the Effective Date</w:t>
      </w:r>
    </w:p>
    <w:p>
      <w:pPr>
        <w:pStyle w:val="TextBody"/>
        <w:bidi w:val="0"/>
        <w:jc w:val="center"/>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TABLE OF CONTENTS</w:t>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t>Article I DEFINITIONS 1</w:t>
      </w:r>
    </w:p>
    <w:p>
      <w:pPr>
        <w:pStyle w:val="TextBody"/>
        <w:bidi w:val="0"/>
        <w:jc w:val="both"/>
        <w:rPr>
          <w:rFonts w:ascii="Times New Roman" w:hAnsi="Times New Roman"/>
          <w:sz w:val="20"/>
        </w:rPr>
      </w:pPr>
      <w:r>
        <w:rPr>
          <w:rFonts w:ascii="Times New Roman" w:hAnsi="Times New Roman"/>
          <w:caps/>
          <w:color w:val="000000"/>
          <w:sz w:val="20"/>
        </w:rPr>
        <w:t>Section 1.01</w:t>
      </w:r>
      <w:r>
        <w:rPr>
          <w:rFonts w:ascii="Times New Roman" w:hAnsi="Times New Roman"/>
          <w:color w:val="000000"/>
          <w:sz w:val="20"/>
        </w:rPr>
        <w:t xml:space="preserve"> Defined Terms 1</w:t>
      </w:r>
    </w:p>
    <w:p>
      <w:pPr>
        <w:pStyle w:val="TextBody"/>
        <w:bidi w:val="0"/>
        <w:jc w:val="both"/>
        <w:rPr>
          <w:rFonts w:ascii="Times New Roman" w:hAnsi="Times New Roman"/>
          <w:sz w:val="20"/>
        </w:rPr>
      </w:pPr>
      <w:r>
        <w:rPr>
          <w:rFonts w:ascii="Times New Roman" w:hAnsi="Times New Roman"/>
          <w:caps/>
          <w:color w:val="000000"/>
          <w:sz w:val="20"/>
        </w:rPr>
        <w:t>Section 1.02</w:t>
      </w:r>
      <w:r>
        <w:rPr>
          <w:rFonts w:ascii="Times New Roman" w:hAnsi="Times New Roman"/>
          <w:color w:val="000000"/>
          <w:sz w:val="20"/>
        </w:rPr>
        <w:t xml:space="preserve"> Classification of Loans and Borrowings 45</w:t>
      </w:r>
    </w:p>
    <w:p>
      <w:pPr>
        <w:pStyle w:val="TextBody"/>
        <w:bidi w:val="0"/>
        <w:jc w:val="both"/>
        <w:rPr>
          <w:rFonts w:ascii="Times New Roman" w:hAnsi="Times New Roman"/>
          <w:sz w:val="20"/>
        </w:rPr>
      </w:pPr>
      <w:r>
        <w:rPr>
          <w:rFonts w:ascii="Times New Roman" w:hAnsi="Times New Roman"/>
          <w:caps/>
          <w:color w:val="000000"/>
          <w:sz w:val="20"/>
        </w:rPr>
        <w:t>Section 1.03</w:t>
      </w:r>
      <w:r>
        <w:rPr>
          <w:rFonts w:ascii="Times New Roman" w:hAnsi="Times New Roman"/>
          <w:color w:val="000000"/>
          <w:sz w:val="20"/>
        </w:rPr>
        <w:t xml:space="preserve"> Terms Generally 45</w:t>
      </w:r>
    </w:p>
    <w:p>
      <w:pPr>
        <w:pStyle w:val="TextBody"/>
        <w:bidi w:val="0"/>
        <w:jc w:val="both"/>
        <w:rPr>
          <w:rFonts w:ascii="Times New Roman" w:hAnsi="Times New Roman"/>
          <w:sz w:val="20"/>
        </w:rPr>
      </w:pPr>
      <w:r>
        <w:rPr>
          <w:rFonts w:ascii="Times New Roman" w:hAnsi="Times New Roman"/>
          <w:caps/>
          <w:color w:val="000000"/>
          <w:sz w:val="20"/>
        </w:rPr>
        <w:t>Section 1.04</w:t>
      </w:r>
      <w:r>
        <w:rPr>
          <w:rFonts w:ascii="Times New Roman" w:hAnsi="Times New Roman"/>
          <w:color w:val="000000"/>
          <w:sz w:val="20"/>
        </w:rPr>
        <w:t xml:space="preserve"> Accounting Terms; GAAP 47</w:t>
      </w:r>
    </w:p>
    <w:p>
      <w:pPr>
        <w:pStyle w:val="TextBody"/>
        <w:bidi w:val="0"/>
        <w:jc w:val="both"/>
        <w:rPr>
          <w:rFonts w:ascii="Times New Roman" w:hAnsi="Times New Roman"/>
          <w:sz w:val="20"/>
        </w:rPr>
      </w:pPr>
      <w:r>
        <w:rPr>
          <w:rFonts w:ascii="Times New Roman" w:hAnsi="Times New Roman"/>
          <w:caps/>
          <w:color w:val="000000"/>
          <w:sz w:val="20"/>
        </w:rPr>
        <w:t>Section 1.05</w:t>
      </w:r>
      <w:r>
        <w:rPr>
          <w:rFonts w:ascii="Times New Roman" w:hAnsi="Times New Roman"/>
          <w:color w:val="000000"/>
          <w:sz w:val="20"/>
        </w:rPr>
        <w:t xml:space="preserve"> [Intentionally Omitted] 4</w:t>
      </w:r>
      <w:r>
        <w:rPr>
          <w:rFonts w:ascii="Times New Roman" w:hAnsi="Times New Roman"/>
          <w:strike/>
          <w:color w:val="FF0000"/>
          <w:sz w:val="20"/>
        </w:rPr>
        <w:t>7</w:t>
      </w:r>
      <w:r>
        <w:rPr>
          <w:rFonts w:ascii="Times New Roman" w:hAnsi="Times New Roman"/>
          <w:color w:val="0000FF"/>
          <w:sz w:val="20"/>
          <w:u w:val="single"/>
        </w:rPr>
        <w:t>8</w:t>
      </w:r>
    </w:p>
    <w:p>
      <w:pPr>
        <w:pStyle w:val="TextBody"/>
        <w:bidi w:val="0"/>
        <w:jc w:val="both"/>
        <w:rPr>
          <w:rFonts w:ascii="Times New Roman" w:hAnsi="Times New Roman"/>
          <w:sz w:val="20"/>
        </w:rPr>
      </w:pPr>
      <w:r>
        <w:rPr>
          <w:rFonts w:ascii="Times New Roman" w:hAnsi="Times New Roman"/>
          <w:caps/>
          <w:color w:val="000000"/>
          <w:sz w:val="20"/>
        </w:rPr>
        <w:t>Section 1.06</w:t>
      </w:r>
      <w:r>
        <w:rPr>
          <w:rFonts w:ascii="Times New Roman" w:hAnsi="Times New Roman"/>
          <w:color w:val="000000"/>
          <w:sz w:val="20"/>
        </w:rPr>
        <w:t xml:space="preserve"> Interest Rates, Benchmark Notification 4</w:t>
      </w:r>
      <w:r>
        <w:rPr>
          <w:rFonts w:ascii="Times New Roman" w:hAnsi="Times New Roman"/>
          <w:strike/>
          <w:color w:val="FF0000"/>
          <w:sz w:val="20"/>
        </w:rPr>
        <w:t>7</w:t>
      </w:r>
      <w:r>
        <w:rPr>
          <w:rFonts w:ascii="Times New Roman" w:hAnsi="Times New Roman"/>
          <w:color w:val="0000FF"/>
          <w:sz w:val="20"/>
          <w:u w:val="single"/>
        </w:rPr>
        <w:t>8</w:t>
      </w:r>
    </w:p>
    <w:p>
      <w:pPr>
        <w:pStyle w:val="TextBody"/>
        <w:bidi w:val="0"/>
        <w:jc w:val="both"/>
        <w:rPr>
          <w:rFonts w:ascii="Times New Roman" w:hAnsi="Times New Roman"/>
          <w:sz w:val="20"/>
        </w:rPr>
      </w:pPr>
      <w:r>
        <w:rPr>
          <w:rFonts w:ascii="Times New Roman" w:hAnsi="Times New Roman"/>
          <w:caps/>
          <w:color w:val="000000"/>
          <w:sz w:val="20"/>
        </w:rPr>
        <w:t>Section 1.07</w:t>
      </w:r>
      <w:r>
        <w:rPr>
          <w:rFonts w:ascii="Times New Roman" w:hAnsi="Times New Roman"/>
          <w:color w:val="000000"/>
          <w:sz w:val="20"/>
        </w:rPr>
        <w:t xml:space="preserve"> [Intentionally Omitted] 48</w:t>
      </w:r>
    </w:p>
    <w:p>
      <w:pPr>
        <w:pStyle w:val="TextBody"/>
        <w:bidi w:val="0"/>
        <w:jc w:val="both"/>
        <w:rPr>
          <w:rFonts w:ascii="Times New Roman" w:hAnsi="Times New Roman"/>
          <w:sz w:val="20"/>
        </w:rPr>
      </w:pPr>
      <w:r>
        <w:rPr>
          <w:rFonts w:ascii="Times New Roman" w:hAnsi="Times New Roman"/>
          <w:caps/>
          <w:color w:val="000000"/>
          <w:sz w:val="20"/>
        </w:rPr>
        <w:t>Section 1.08</w:t>
      </w:r>
      <w:r>
        <w:rPr>
          <w:rFonts w:ascii="Times New Roman" w:hAnsi="Times New Roman"/>
          <w:color w:val="000000"/>
          <w:sz w:val="20"/>
        </w:rPr>
        <w:t xml:space="preserve"> EBITDA 48</w:t>
      </w:r>
    </w:p>
    <w:p>
      <w:pPr>
        <w:pStyle w:val="TextBody"/>
        <w:bidi w:val="0"/>
        <w:jc w:val="both"/>
        <w:rPr>
          <w:rFonts w:ascii="Times New Roman" w:hAnsi="Times New Roman"/>
          <w:sz w:val="20"/>
        </w:rPr>
      </w:pPr>
      <w:r>
        <w:rPr>
          <w:rFonts w:ascii="Times New Roman" w:hAnsi="Times New Roman"/>
          <w:caps/>
          <w:color w:val="000000"/>
          <w:sz w:val="20"/>
        </w:rPr>
        <w:t>Section 1.09</w:t>
      </w:r>
      <w:r>
        <w:rPr>
          <w:rFonts w:ascii="Times New Roman" w:hAnsi="Times New Roman"/>
          <w:color w:val="000000"/>
          <w:sz w:val="20"/>
        </w:rPr>
        <w:t xml:space="preserve"> Letter of Credit Amounts 48</w:t>
      </w:r>
    </w:p>
    <w:p>
      <w:pPr>
        <w:pStyle w:val="TextBody"/>
        <w:bidi w:val="0"/>
        <w:jc w:val="both"/>
        <w:rPr>
          <w:rFonts w:ascii="Times New Roman" w:hAnsi="Times New Roman"/>
          <w:sz w:val="20"/>
        </w:rPr>
      </w:pPr>
      <w:r>
        <w:rPr>
          <w:rFonts w:ascii="Times New Roman" w:hAnsi="Times New Roman"/>
          <w:caps/>
          <w:color w:val="000000"/>
          <w:sz w:val="20"/>
        </w:rPr>
        <w:t>Section 1.10</w:t>
      </w:r>
      <w:r>
        <w:rPr>
          <w:rFonts w:ascii="Times New Roman" w:hAnsi="Times New Roman"/>
          <w:color w:val="000000"/>
          <w:sz w:val="20"/>
        </w:rPr>
        <w:t xml:space="preserve"> Divisions 48</w:t>
      </w:r>
    </w:p>
    <w:p>
      <w:pPr>
        <w:pStyle w:val="TextBody"/>
        <w:bidi w:val="0"/>
        <w:jc w:val="both"/>
        <w:rPr>
          <w:rFonts w:ascii="Times New Roman" w:hAnsi="Times New Roman"/>
          <w:sz w:val="20"/>
        </w:rPr>
      </w:pPr>
      <w:r>
        <w:rPr>
          <w:rFonts w:ascii="Times New Roman" w:hAnsi="Times New Roman"/>
          <w:caps/>
          <w:color w:val="000000"/>
          <w:sz w:val="20"/>
        </w:rPr>
        <w:t>Section 1.11</w:t>
      </w:r>
      <w:r>
        <w:rPr>
          <w:rFonts w:ascii="Times New Roman" w:hAnsi="Times New Roman"/>
          <w:color w:val="000000"/>
          <w:sz w:val="20"/>
        </w:rPr>
        <w:t xml:space="preserve"> Currency Translation 48</w:t>
      </w:r>
    </w:p>
    <w:p>
      <w:pPr>
        <w:pStyle w:val="TextBody"/>
        <w:bidi w:val="0"/>
        <w:jc w:val="both"/>
        <w:rPr>
          <w:rFonts w:ascii="Times New Roman" w:hAnsi="Times New Roman"/>
          <w:sz w:val="20"/>
        </w:rPr>
      </w:pPr>
      <w:r>
        <w:rPr>
          <w:rFonts w:ascii="Times New Roman" w:hAnsi="Times New Roman"/>
          <w:caps/>
          <w:color w:val="000000"/>
          <w:sz w:val="20"/>
        </w:rPr>
        <w:t>Section 1.12</w:t>
      </w:r>
      <w:r>
        <w:rPr>
          <w:rFonts w:ascii="Times New Roman" w:hAnsi="Times New Roman"/>
          <w:color w:val="000000"/>
          <w:sz w:val="20"/>
        </w:rPr>
        <w:t xml:space="preserve"> Cumulative Credit Transactions 4</w:t>
      </w:r>
      <w:r>
        <w:rPr>
          <w:rFonts w:ascii="Times New Roman" w:hAnsi="Times New Roman"/>
          <w:strike/>
          <w:color w:val="FF0000"/>
          <w:sz w:val="20"/>
        </w:rPr>
        <w:t>8</w:t>
      </w:r>
      <w:r>
        <w:rPr>
          <w:rFonts w:ascii="Times New Roman" w:hAnsi="Times New Roman"/>
          <w:color w:val="0000FF"/>
          <w:sz w:val="20"/>
          <w:u w:val="single"/>
        </w:rPr>
        <w:t>9</w:t>
      </w:r>
    </w:p>
    <w:p>
      <w:pPr>
        <w:pStyle w:val="TextBody"/>
        <w:bidi w:val="0"/>
        <w:jc w:val="both"/>
        <w:rPr>
          <w:rFonts w:ascii="Times New Roman" w:hAnsi="Times New Roman"/>
          <w:sz w:val="20"/>
        </w:rPr>
      </w:pPr>
      <w:r>
        <w:rPr>
          <w:rFonts w:ascii="Times New Roman" w:hAnsi="Times New Roman"/>
          <w:caps/>
          <w:color w:val="000000"/>
          <w:sz w:val="20"/>
        </w:rPr>
        <w:t>Section 1.13</w:t>
      </w:r>
      <w:r>
        <w:rPr>
          <w:rFonts w:ascii="Times New Roman" w:hAnsi="Times New Roman"/>
          <w:color w:val="000000"/>
          <w:sz w:val="20"/>
        </w:rPr>
        <w:t xml:space="preserve"> Times of Day 4</w:t>
      </w:r>
      <w:r>
        <w:rPr>
          <w:rFonts w:ascii="Times New Roman" w:hAnsi="Times New Roman"/>
          <w:strike/>
          <w:color w:val="FF0000"/>
          <w:sz w:val="20"/>
        </w:rPr>
        <w:t>8</w:t>
      </w:r>
      <w:r>
        <w:rPr>
          <w:rFonts w:ascii="Times New Roman" w:hAnsi="Times New Roman"/>
          <w:color w:val="0000FF"/>
          <w:sz w:val="20"/>
          <w:u w:val="single"/>
        </w:rPr>
        <w:t>9</w:t>
      </w:r>
    </w:p>
    <w:p>
      <w:pPr>
        <w:pStyle w:val="TextBody"/>
        <w:bidi w:val="0"/>
        <w:jc w:val="both"/>
        <w:rPr>
          <w:rFonts w:ascii="Times New Roman" w:hAnsi="Times New Roman"/>
          <w:sz w:val="20"/>
        </w:rPr>
      </w:pPr>
      <w:r>
        <w:rPr>
          <w:rFonts w:ascii="Times New Roman" w:hAnsi="Times New Roman"/>
          <w:caps/>
          <w:color w:val="000000"/>
          <w:sz w:val="20"/>
        </w:rPr>
        <w:t>Section 1.14</w:t>
      </w:r>
      <w:r>
        <w:rPr>
          <w:rFonts w:ascii="Times New Roman" w:hAnsi="Times New Roman"/>
          <w:color w:val="000000"/>
          <w:sz w:val="20"/>
        </w:rPr>
        <w:t xml:space="preserve"> Pro Forma Calculations. 49</w:t>
      </w:r>
    </w:p>
    <w:p>
      <w:pPr>
        <w:pStyle w:val="TextBody"/>
        <w:bidi w:val="0"/>
        <w:jc w:val="both"/>
        <w:rPr>
          <w:rFonts w:ascii="Times New Roman" w:hAnsi="Times New Roman"/>
          <w:sz w:val="20"/>
        </w:rPr>
      </w:pPr>
      <w:r>
        <w:rPr>
          <w:rFonts w:ascii="Times New Roman" w:hAnsi="Times New Roman"/>
          <w:caps/>
          <w:color w:val="000000"/>
          <w:sz w:val="20"/>
        </w:rPr>
        <w:t>Section 1.15</w:t>
      </w:r>
      <w:r>
        <w:rPr>
          <w:rFonts w:ascii="Times New Roman" w:hAnsi="Times New Roman"/>
          <w:color w:val="000000"/>
          <w:sz w:val="20"/>
        </w:rPr>
        <w:t xml:space="preserve"> Rounding 51</w:t>
      </w:r>
    </w:p>
    <w:p>
      <w:pPr>
        <w:pStyle w:val="TextBody"/>
        <w:bidi w:val="0"/>
        <w:jc w:val="both"/>
        <w:rPr>
          <w:rFonts w:ascii="Times New Roman" w:hAnsi="Times New Roman"/>
          <w:sz w:val="20"/>
        </w:rPr>
      </w:pPr>
      <w:r>
        <w:rPr>
          <w:rFonts w:ascii="Times New Roman" w:hAnsi="Times New Roman"/>
          <w:caps/>
          <w:color w:val="000000"/>
          <w:sz w:val="20"/>
        </w:rPr>
        <w:t>Section 1.16</w:t>
      </w:r>
      <w:r>
        <w:rPr>
          <w:rFonts w:ascii="Times New Roman" w:hAnsi="Times New Roman"/>
          <w:color w:val="000000"/>
          <w:sz w:val="20"/>
        </w:rPr>
        <w:t xml:space="preserve"> Compliance with Certain Sections 51</w:t>
      </w:r>
    </w:p>
    <w:p>
      <w:pPr>
        <w:pStyle w:val="TextBody"/>
        <w:bidi w:val="0"/>
        <w:jc w:val="both"/>
        <w:rPr>
          <w:rFonts w:ascii="Times New Roman" w:hAnsi="Times New Roman"/>
          <w:sz w:val="20"/>
        </w:rPr>
      </w:pPr>
      <w:r>
        <w:rPr>
          <w:rFonts w:ascii="Times New Roman" w:hAnsi="Times New Roman"/>
          <w:caps/>
          <w:color w:val="000000"/>
          <w:sz w:val="20"/>
        </w:rPr>
        <w:t>Section 1.17</w:t>
      </w:r>
      <w:r>
        <w:rPr>
          <w:rFonts w:ascii="Times New Roman" w:hAnsi="Times New Roman"/>
          <w:color w:val="000000"/>
          <w:sz w:val="20"/>
        </w:rPr>
        <w:t xml:space="preserve"> Timing of Payment or Performance 52</w:t>
      </w:r>
    </w:p>
    <w:p>
      <w:pPr>
        <w:pStyle w:val="TextBody"/>
        <w:bidi w:val="0"/>
        <w:jc w:val="both"/>
        <w:rPr>
          <w:rFonts w:ascii="Times New Roman" w:hAnsi="Times New Roman"/>
          <w:sz w:val="20"/>
        </w:rPr>
      </w:pPr>
      <w:r>
        <w:rPr>
          <w:rFonts w:ascii="Times New Roman" w:hAnsi="Times New Roman"/>
          <w:caps/>
          <w:color w:val="000000"/>
          <w:sz w:val="20"/>
        </w:rPr>
        <w:t>Section 1.18</w:t>
      </w:r>
      <w:r>
        <w:rPr>
          <w:rFonts w:ascii="Times New Roman" w:hAnsi="Times New Roman"/>
          <w:color w:val="000000"/>
          <w:sz w:val="20"/>
        </w:rPr>
        <w:t xml:space="preserve"> Certifications 52</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II THE CREDITS 52</w:t>
      </w:r>
    </w:p>
    <w:p>
      <w:pPr>
        <w:pStyle w:val="TextBody"/>
        <w:bidi w:val="0"/>
        <w:jc w:val="both"/>
        <w:rPr>
          <w:rFonts w:ascii="Times New Roman" w:hAnsi="Times New Roman"/>
          <w:sz w:val="20"/>
        </w:rPr>
      </w:pPr>
      <w:r>
        <w:rPr>
          <w:rFonts w:ascii="Times New Roman" w:hAnsi="Times New Roman"/>
          <w:caps/>
          <w:color w:val="000000"/>
          <w:sz w:val="20"/>
        </w:rPr>
        <w:t>Section 2.01</w:t>
      </w:r>
      <w:r>
        <w:rPr>
          <w:rFonts w:ascii="Times New Roman" w:hAnsi="Times New Roman"/>
          <w:color w:val="000000"/>
          <w:sz w:val="20"/>
        </w:rPr>
        <w:t xml:space="preserve"> Revolving Commitments 52</w:t>
      </w:r>
    </w:p>
    <w:p>
      <w:pPr>
        <w:pStyle w:val="TextBody"/>
        <w:bidi w:val="0"/>
        <w:jc w:val="both"/>
        <w:rPr>
          <w:rFonts w:ascii="Times New Roman" w:hAnsi="Times New Roman"/>
          <w:sz w:val="20"/>
        </w:rPr>
      </w:pPr>
      <w:r>
        <w:rPr>
          <w:rFonts w:ascii="Times New Roman" w:hAnsi="Times New Roman"/>
          <w:caps/>
          <w:color w:val="000000"/>
          <w:sz w:val="20"/>
        </w:rPr>
        <w:t>Section 2.02</w:t>
      </w:r>
      <w:r>
        <w:rPr>
          <w:rFonts w:ascii="Times New Roman" w:hAnsi="Times New Roman"/>
          <w:color w:val="000000"/>
          <w:sz w:val="20"/>
        </w:rPr>
        <w:t xml:space="preserve"> Loans and Borrowings 52</w:t>
      </w:r>
    </w:p>
    <w:p>
      <w:pPr>
        <w:pStyle w:val="TextBody"/>
        <w:bidi w:val="0"/>
        <w:jc w:val="both"/>
        <w:rPr>
          <w:rFonts w:ascii="Times New Roman" w:hAnsi="Times New Roman"/>
          <w:sz w:val="20"/>
        </w:rPr>
      </w:pPr>
      <w:r>
        <w:rPr>
          <w:rFonts w:ascii="Times New Roman" w:hAnsi="Times New Roman"/>
          <w:caps/>
          <w:color w:val="000000"/>
          <w:sz w:val="20"/>
        </w:rPr>
        <w:t>Section 2.03</w:t>
      </w:r>
      <w:r>
        <w:rPr>
          <w:rFonts w:ascii="Times New Roman" w:hAnsi="Times New Roman"/>
          <w:color w:val="000000"/>
          <w:sz w:val="20"/>
        </w:rPr>
        <w:t xml:space="preserve"> Requests for Revolving Borrowings 5</w:t>
      </w:r>
      <w:r>
        <w:rPr>
          <w:rFonts w:ascii="Times New Roman" w:hAnsi="Times New Roman"/>
          <w:strike/>
          <w:color w:val="FF0000"/>
          <w:sz w:val="20"/>
        </w:rPr>
        <w:t>2</w:t>
      </w:r>
      <w:r>
        <w:rPr>
          <w:rFonts w:ascii="Times New Roman" w:hAnsi="Times New Roman"/>
          <w:color w:val="0000FF"/>
          <w:sz w:val="20"/>
          <w:u w:val="single"/>
        </w:rPr>
        <w:t>3</w:t>
      </w:r>
    </w:p>
    <w:p>
      <w:pPr>
        <w:pStyle w:val="TextBody"/>
        <w:bidi w:val="0"/>
        <w:jc w:val="both"/>
        <w:rPr>
          <w:rFonts w:ascii="Times New Roman" w:hAnsi="Times New Roman"/>
          <w:sz w:val="20"/>
        </w:rPr>
      </w:pPr>
      <w:r>
        <w:rPr>
          <w:rFonts w:ascii="Times New Roman" w:hAnsi="Times New Roman"/>
          <w:caps/>
          <w:color w:val="000000"/>
          <w:sz w:val="20"/>
        </w:rPr>
        <w:t>Section 2.04</w:t>
      </w:r>
      <w:r>
        <w:rPr>
          <w:rFonts w:ascii="Times New Roman" w:hAnsi="Times New Roman"/>
          <w:color w:val="000000"/>
          <w:sz w:val="20"/>
        </w:rPr>
        <w:t xml:space="preserve"> [Intentionally Omitted] 53</w:t>
      </w:r>
    </w:p>
    <w:p>
      <w:pPr>
        <w:pStyle w:val="TextBody"/>
        <w:bidi w:val="0"/>
        <w:jc w:val="both"/>
        <w:rPr>
          <w:rFonts w:ascii="Times New Roman" w:hAnsi="Times New Roman"/>
          <w:sz w:val="20"/>
        </w:rPr>
      </w:pPr>
      <w:r>
        <w:rPr>
          <w:rFonts w:ascii="Times New Roman" w:hAnsi="Times New Roman"/>
          <w:caps/>
          <w:color w:val="000000"/>
          <w:sz w:val="20"/>
        </w:rPr>
        <w:t>Section 2.05</w:t>
      </w:r>
      <w:r>
        <w:rPr>
          <w:rFonts w:ascii="Times New Roman" w:hAnsi="Times New Roman"/>
          <w:color w:val="000000"/>
          <w:sz w:val="20"/>
        </w:rPr>
        <w:t xml:space="preserve"> Swingline Loans 53</w:t>
      </w:r>
    </w:p>
    <w:p>
      <w:pPr>
        <w:pStyle w:val="TextBody"/>
        <w:bidi w:val="0"/>
        <w:jc w:val="both"/>
        <w:rPr>
          <w:rFonts w:ascii="Times New Roman" w:hAnsi="Times New Roman"/>
          <w:sz w:val="20"/>
        </w:rPr>
      </w:pPr>
      <w:r>
        <w:rPr>
          <w:rFonts w:ascii="Times New Roman" w:hAnsi="Times New Roman"/>
          <w:caps/>
          <w:color w:val="000000"/>
          <w:sz w:val="20"/>
        </w:rPr>
        <w:t>Section 2.06</w:t>
      </w:r>
      <w:r>
        <w:rPr>
          <w:rFonts w:ascii="Times New Roman" w:hAnsi="Times New Roman"/>
          <w:color w:val="000000"/>
          <w:sz w:val="20"/>
        </w:rPr>
        <w:t xml:space="preserve"> Letters of Credit 55</w:t>
      </w:r>
    </w:p>
    <w:p>
      <w:pPr>
        <w:pStyle w:val="TextBody"/>
        <w:bidi w:val="0"/>
        <w:jc w:val="both"/>
        <w:rPr>
          <w:rFonts w:ascii="Times New Roman" w:hAnsi="Times New Roman"/>
          <w:sz w:val="20"/>
        </w:rPr>
      </w:pPr>
      <w:r>
        <w:rPr>
          <w:rFonts w:ascii="Times New Roman" w:hAnsi="Times New Roman"/>
          <w:caps/>
          <w:color w:val="000000"/>
          <w:sz w:val="20"/>
        </w:rPr>
        <w:t>Section 2.07</w:t>
      </w:r>
      <w:r>
        <w:rPr>
          <w:rFonts w:ascii="Times New Roman" w:hAnsi="Times New Roman"/>
          <w:color w:val="000000"/>
          <w:sz w:val="20"/>
        </w:rPr>
        <w:t xml:space="preserve"> Funding of Borrowings 59</w:t>
      </w:r>
    </w:p>
    <w:p>
      <w:pPr>
        <w:pStyle w:val="TextBody"/>
        <w:bidi w:val="0"/>
        <w:jc w:val="both"/>
        <w:rPr>
          <w:rFonts w:ascii="Times New Roman" w:hAnsi="Times New Roman"/>
          <w:sz w:val="20"/>
        </w:rPr>
      </w:pPr>
      <w:r>
        <w:rPr>
          <w:rFonts w:ascii="Times New Roman" w:hAnsi="Times New Roman"/>
          <w:caps/>
          <w:color w:val="000000"/>
          <w:sz w:val="20"/>
        </w:rPr>
        <w:t>Section 2.08</w:t>
      </w:r>
      <w:r>
        <w:rPr>
          <w:rFonts w:ascii="Times New Roman" w:hAnsi="Times New Roman"/>
          <w:color w:val="000000"/>
          <w:sz w:val="20"/>
        </w:rPr>
        <w:t xml:space="preserve"> Interest Elections 59</w:t>
      </w:r>
    </w:p>
    <w:p>
      <w:pPr>
        <w:pStyle w:val="TextBody"/>
        <w:bidi w:val="0"/>
        <w:jc w:val="both"/>
        <w:rPr>
          <w:rFonts w:ascii="Times New Roman" w:hAnsi="Times New Roman"/>
          <w:sz w:val="20"/>
        </w:rPr>
      </w:pPr>
      <w:r>
        <w:rPr>
          <w:rFonts w:ascii="Times New Roman" w:hAnsi="Times New Roman"/>
          <w:caps/>
          <w:color w:val="000000"/>
          <w:sz w:val="20"/>
        </w:rPr>
        <w:t>Section 2.09</w:t>
      </w:r>
      <w:r>
        <w:rPr>
          <w:rFonts w:ascii="Times New Roman" w:hAnsi="Times New Roman"/>
          <w:color w:val="000000"/>
          <w:sz w:val="20"/>
        </w:rPr>
        <w:t xml:space="preserve"> Termination and Reduction of Commitments 60</w:t>
      </w:r>
    </w:p>
    <w:p>
      <w:pPr>
        <w:pStyle w:val="TextBody"/>
        <w:bidi w:val="0"/>
        <w:jc w:val="both"/>
        <w:rPr>
          <w:rFonts w:ascii="Times New Roman" w:hAnsi="Times New Roman"/>
          <w:sz w:val="20"/>
        </w:rPr>
      </w:pPr>
      <w:r>
        <w:rPr>
          <w:rFonts w:ascii="Times New Roman" w:hAnsi="Times New Roman"/>
          <w:caps/>
          <w:color w:val="000000"/>
          <w:sz w:val="20"/>
        </w:rPr>
        <w:t>Section 2.10</w:t>
      </w:r>
      <w:r>
        <w:rPr>
          <w:rFonts w:ascii="Times New Roman" w:hAnsi="Times New Roman"/>
          <w:color w:val="000000"/>
          <w:sz w:val="20"/>
        </w:rPr>
        <w:t xml:space="preserve"> Repayment of Loans; Evidence of Debt 61</w:t>
      </w:r>
    </w:p>
    <w:p>
      <w:pPr>
        <w:pStyle w:val="TextBody"/>
        <w:bidi w:val="0"/>
        <w:jc w:val="both"/>
        <w:rPr>
          <w:rFonts w:ascii="Times New Roman" w:hAnsi="Times New Roman"/>
          <w:sz w:val="20"/>
        </w:rPr>
      </w:pPr>
      <w:r>
        <w:rPr>
          <w:rFonts w:ascii="Times New Roman" w:hAnsi="Times New Roman"/>
          <w:caps/>
          <w:color w:val="000000"/>
          <w:sz w:val="20"/>
        </w:rPr>
        <w:t>Section 2.11</w:t>
      </w:r>
      <w:r>
        <w:rPr>
          <w:rFonts w:ascii="Times New Roman" w:hAnsi="Times New Roman"/>
          <w:color w:val="000000"/>
          <w:sz w:val="20"/>
        </w:rPr>
        <w:t xml:space="preserve"> Prepayment of Loans 61</w:t>
      </w:r>
    </w:p>
    <w:p>
      <w:pPr>
        <w:pStyle w:val="TextBody"/>
        <w:bidi w:val="0"/>
        <w:jc w:val="both"/>
        <w:rPr>
          <w:rFonts w:ascii="Times New Roman" w:hAnsi="Times New Roman"/>
          <w:sz w:val="20"/>
        </w:rPr>
      </w:pPr>
      <w:r>
        <w:rPr>
          <w:rFonts w:ascii="Times New Roman" w:hAnsi="Times New Roman"/>
          <w:caps/>
          <w:color w:val="000000"/>
          <w:sz w:val="20"/>
        </w:rPr>
        <w:t>Section 2.12</w:t>
      </w:r>
      <w:r>
        <w:rPr>
          <w:rFonts w:ascii="Times New Roman" w:hAnsi="Times New Roman"/>
          <w:color w:val="000000"/>
          <w:sz w:val="20"/>
        </w:rPr>
        <w:t xml:space="preserve"> Fees 62</w:t>
      </w:r>
    </w:p>
    <w:p>
      <w:pPr>
        <w:pStyle w:val="TextBody"/>
        <w:bidi w:val="0"/>
        <w:jc w:val="both"/>
        <w:rPr>
          <w:rFonts w:ascii="Times New Roman" w:hAnsi="Times New Roman"/>
          <w:sz w:val="20"/>
        </w:rPr>
      </w:pPr>
      <w:r>
        <w:rPr>
          <w:rFonts w:ascii="Times New Roman" w:hAnsi="Times New Roman"/>
          <w:caps/>
          <w:color w:val="000000"/>
          <w:sz w:val="20"/>
        </w:rPr>
        <w:t>Section 2.13</w:t>
      </w:r>
      <w:r>
        <w:rPr>
          <w:rFonts w:ascii="Times New Roman" w:hAnsi="Times New Roman"/>
          <w:color w:val="000000"/>
          <w:sz w:val="20"/>
        </w:rPr>
        <w:t xml:space="preserve"> Interest 63</w:t>
      </w:r>
    </w:p>
    <w:p>
      <w:pPr>
        <w:pStyle w:val="TextBody"/>
        <w:bidi w:val="0"/>
        <w:jc w:val="both"/>
        <w:rPr>
          <w:rFonts w:ascii="Times New Roman" w:hAnsi="Times New Roman"/>
          <w:sz w:val="20"/>
        </w:rPr>
      </w:pPr>
      <w:r>
        <w:rPr>
          <w:rFonts w:ascii="Times New Roman" w:hAnsi="Times New Roman"/>
          <w:caps/>
          <w:color w:val="000000"/>
          <w:sz w:val="20"/>
        </w:rPr>
        <w:t>Section 2.14</w:t>
      </w:r>
      <w:r>
        <w:rPr>
          <w:rFonts w:ascii="Times New Roman" w:hAnsi="Times New Roman"/>
          <w:color w:val="000000"/>
          <w:sz w:val="20"/>
        </w:rPr>
        <w:t xml:space="preserve"> Alternate Rate of Interest 6</w:t>
      </w:r>
      <w:r>
        <w:rPr>
          <w:rFonts w:ascii="Times New Roman" w:hAnsi="Times New Roman"/>
          <w:strike/>
          <w:color w:val="FF0000"/>
          <w:sz w:val="20"/>
        </w:rPr>
        <w:t>3</w:t>
      </w:r>
      <w:r>
        <w:rPr>
          <w:rFonts w:ascii="Times New Roman" w:hAnsi="Times New Roman"/>
          <w:color w:val="0000FF"/>
          <w:sz w:val="20"/>
          <w:u w:val="single"/>
        </w:rPr>
        <w:t>4</w:t>
      </w:r>
    </w:p>
    <w:p>
      <w:pPr>
        <w:pStyle w:val="TextBody"/>
        <w:bidi w:val="0"/>
        <w:jc w:val="both"/>
        <w:rPr>
          <w:rFonts w:ascii="Times New Roman" w:hAnsi="Times New Roman"/>
          <w:sz w:val="20"/>
        </w:rPr>
      </w:pPr>
      <w:r>
        <w:rPr>
          <w:rFonts w:ascii="Times New Roman" w:hAnsi="Times New Roman"/>
          <w:caps/>
          <w:color w:val="000000"/>
          <w:sz w:val="20"/>
        </w:rPr>
        <w:t>Section 2.15</w:t>
      </w:r>
      <w:r>
        <w:rPr>
          <w:rFonts w:ascii="Times New Roman" w:hAnsi="Times New Roman"/>
          <w:color w:val="000000"/>
          <w:sz w:val="20"/>
        </w:rPr>
        <w:t xml:space="preserve"> Increased Costs 66</w:t>
      </w:r>
    </w:p>
    <w:p>
      <w:pPr>
        <w:pStyle w:val="TextBody"/>
        <w:bidi w:val="0"/>
        <w:jc w:val="both"/>
        <w:rPr>
          <w:rFonts w:ascii="Times New Roman" w:hAnsi="Times New Roman"/>
          <w:sz w:val="20"/>
        </w:rPr>
      </w:pPr>
      <w:r>
        <w:rPr>
          <w:rFonts w:ascii="Times New Roman" w:hAnsi="Times New Roman"/>
          <w:caps/>
          <w:color w:val="000000"/>
          <w:sz w:val="20"/>
        </w:rPr>
        <w:t>Section 2.16</w:t>
      </w:r>
      <w:r>
        <w:rPr>
          <w:rFonts w:ascii="Times New Roman" w:hAnsi="Times New Roman"/>
          <w:color w:val="000000"/>
          <w:sz w:val="20"/>
        </w:rPr>
        <w:t xml:space="preserve"> [Intentionally Omitted] 67</w:t>
      </w:r>
    </w:p>
    <w:p>
      <w:pPr>
        <w:pStyle w:val="TextBody"/>
        <w:bidi w:val="0"/>
        <w:jc w:val="both"/>
        <w:rPr>
          <w:rFonts w:ascii="Times New Roman" w:hAnsi="Times New Roman"/>
          <w:sz w:val="20"/>
        </w:rPr>
      </w:pPr>
      <w:r>
        <w:rPr>
          <w:rFonts w:ascii="Times New Roman" w:hAnsi="Times New Roman"/>
          <w:caps/>
          <w:color w:val="000000"/>
          <w:sz w:val="20"/>
        </w:rPr>
        <w:t>Section 2.17</w:t>
      </w:r>
      <w:r>
        <w:rPr>
          <w:rFonts w:ascii="Times New Roman" w:hAnsi="Times New Roman"/>
          <w:color w:val="000000"/>
          <w:sz w:val="20"/>
        </w:rPr>
        <w:t xml:space="preserve"> Payments Free of Taxes 67</w:t>
      </w:r>
    </w:p>
    <w:p>
      <w:pPr>
        <w:pStyle w:val="TextBody"/>
        <w:bidi w:val="0"/>
        <w:jc w:val="both"/>
        <w:rPr>
          <w:rFonts w:ascii="Times New Roman" w:hAnsi="Times New Roman"/>
          <w:sz w:val="20"/>
        </w:rPr>
      </w:pPr>
      <w:r>
        <w:rPr>
          <w:rFonts w:ascii="Times New Roman" w:hAnsi="Times New Roman"/>
          <w:caps/>
          <w:color w:val="000000"/>
          <w:sz w:val="20"/>
        </w:rPr>
        <w:t>Section 2.18</w:t>
      </w:r>
      <w:r>
        <w:rPr>
          <w:rFonts w:ascii="Times New Roman" w:hAnsi="Times New Roman"/>
          <w:color w:val="000000"/>
          <w:sz w:val="20"/>
        </w:rPr>
        <w:t xml:space="preserve"> Payments Generally; Allocation of Proceeds; Pro Rata Treatment; Sharing of Setoffs 70</w:t>
      </w:r>
    </w:p>
    <w:p>
      <w:pPr>
        <w:pStyle w:val="TextBody"/>
        <w:bidi w:val="0"/>
        <w:jc w:val="both"/>
        <w:rPr>
          <w:rFonts w:ascii="Times New Roman" w:hAnsi="Times New Roman"/>
          <w:sz w:val="20"/>
        </w:rPr>
      </w:pPr>
      <w:r>
        <w:rPr>
          <w:rFonts w:ascii="Times New Roman" w:hAnsi="Times New Roman"/>
          <w:caps/>
          <w:color w:val="000000"/>
          <w:sz w:val="20"/>
        </w:rPr>
        <w:t>Section 2.19</w:t>
      </w:r>
      <w:r>
        <w:rPr>
          <w:rFonts w:ascii="Times New Roman" w:hAnsi="Times New Roman"/>
          <w:color w:val="000000"/>
          <w:sz w:val="20"/>
        </w:rPr>
        <w:t xml:space="preserve"> Mitigation Obligations; Replacement of Lenders 72</w:t>
      </w:r>
    </w:p>
    <w:p>
      <w:pPr>
        <w:pStyle w:val="TextBody"/>
        <w:bidi w:val="0"/>
        <w:jc w:val="both"/>
        <w:rPr>
          <w:rFonts w:ascii="Times New Roman" w:hAnsi="Times New Roman"/>
          <w:sz w:val="20"/>
        </w:rPr>
      </w:pPr>
      <w:r>
        <w:rPr>
          <w:rFonts w:ascii="Times New Roman" w:hAnsi="Times New Roman"/>
          <w:caps/>
          <w:color w:val="000000"/>
          <w:sz w:val="20"/>
        </w:rPr>
        <w:t>Section 2.20</w:t>
      </w:r>
      <w:r>
        <w:rPr>
          <w:rFonts w:ascii="Times New Roman" w:hAnsi="Times New Roman"/>
          <w:color w:val="000000"/>
          <w:sz w:val="20"/>
        </w:rPr>
        <w:t xml:space="preserve"> Defaulting Lenders 7</w:t>
      </w:r>
      <w:r>
        <w:rPr>
          <w:rFonts w:ascii="Times New Roman" w:hAnsi="Times New Roman"/>
          <w:strike/>
          <w:color w:val="FF0000"/>
          <w:sz w:val="20"/>
        </w:rPr>
        <w:t>2</w:t>
      </w:r>
      <w:r>
        <w:rPr>
          <w:rFonts w:ascii="Times New Roman" w:hAnsi="Times New Roman"/>
          <w:color w:val="0000FF"/>
          <w:sz w:val="20"/>
          <w:u w:val="single"/>
        </w:rPr>
        <w:t>3</w:t>
      </w:r>
    </w:p>
    <w:p>
      <w:pPr>
        <w:pStyle w:val="TextBody"/>
        <w:bidi w:val="0"/>
        <w:jc w:val="both"/>
        <w:rPr>
          <w:rFonts w:ascii="Times New Roman" w:hAnsi="Times New Roman"/>
          <w:sz w:val="20"/>
        </w:rPr>
      </w:pPr>
      <w:r>
        <w:rPr>
          <w:rFonts w:ascii="Times New Roman" w:hAnsi="Times New Roman"/>
          <w:caps/>
          <w:color w:val="000000"/>
          <w:sz w:val="20"/>
        </w:rPr>
        <w:t>Section 2.21</w:t>
      </w:r>
      <w:r>
        <w:rPr>
          <w:rFonts w:ascii="Times New Roman" w:hAnsi="Times New Roman"/>
          <w:color w:val="000000"/>
          <w:sz w:val="20"/>
        </w:rPr>
        <w:t xml:space="preserve"> [Intentionally Omitted] 7</w:t>
      </w:r>
      <w:r>
        <w:rPr>
          <w:rFonts w:ascii="Times New Roman" w:hAnsi="Times New Roman"/>
          <w:strike/>
          <w:color w:val="FF0000"/>
          <w:sz w:val="20"/>
        </w:rPr>
        <w:t>4</w:t>
      </w:r>
      <w:r>
        <w:rPr>
          <w:rFonts w:ascii="Times New Roman" w:hAnsi="Times New Roman"/>
          <w:color w:val="0000FF"/>
          <w:sz w:val="20"/>
          <w:u w:val="single"/>
        </w:rPr>
        <w:t>5</w:t>
      </w:r>
    </w:p>
    <w:p>
      <w:pPr>
        <w:pStyle w:val="TextBody"/>
        <w:bidi w:val="0"/>
        <w:jc w:val="both"/>
        <w:rPr>
          <w:rFonts w:ascii="Times New Roman" w:hAnsi="Times New Roman"/>
          <w:sz w:val="20"/>
        </w:rPr>
      </w:pPr>
      <w:r>
        <w:rPr>
          <w:rFonts w:ascii="Times New Roman" w:hAnsi="Times New Roman"/>
          <w:caps/>
          <w:color w:val="000000"/>
          <w:sz w:val="20"/>
        </w:rPr>
        <w:t>Section 2.22</w:t>
      </w:r>
      <w:r>
        <w:rPr>
          <w:rFonts w:ascii="Times New Roman" w:hAnsi="Times New Roman"/>
          <w:color w:val="000000"/>
          <w:sz w:val="20"/>
        </w:rPr>
        <w:t xml:space="preserve"> Expansion Option; Incremental Facilities 75</w:t>
      </w:r>
    </w:p>
    <w:p>
      <w:pPr>
        <w:pStyle w:val="TextBody"/>
        <w:bidi w:val="0"/>
        <w:jc w:val="both"/>
        <w:rPr>
          <w:rFonts w:ascii="Times New Roman" w:hAnsi="Times New Roman"/>
          <w:sz w:val="20"/>
        </w:rPr>
      </w:pPr>
      <w:r>
        <w:rPr>
          <w:rFonts w:ascii="Times New Roman" w:hAnsi="Times New Roman"/>
          <w:caps/>
          <w:color w:val="000000"/>
          <w:sz w:val="20"/>
        </w:rPr>
        <w:t>Section 2.23</w:t>
      </w:r>
      <w:r>
        <w:rPr>
          <w:rFonts w:ascii="Times New Roman" w:hAnsi="Times New Roman"/>
          <w:color w:val="000000"/>
          <w:sz w:val="20"/>
        </w:rPr>
        <w:t xml:space="preserve"> Banking Services and Swap Agreements 76</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III REPRESENTATIONS AND WARRANTIES 76</w:t>
      </w:r>
    </w:p>
    <w:p>
      <w:pPr>
        <w:pStyle w:val="TextBody"/>
        <w:bidi w:val="0"/>
        <w:jc w:val="both"/>
        <w:rPr>
          <w:rFonts w:ascii="Times New Roman" w:hAnsi="Times New Roman"/>
          <w:sz w:val="20"/>
        </w:rPr>
      </w:pPr>
      <w:r>
        <w:rPr>
          <w:rFonts w:ascii="Times New Roman" w:hAnsi="Times New Roman"/>
          <w:caps/>
          <w:color w:val="000000"/>
          <w:sz w:val="20"/>
        </w:rPr>
        <w:t>Section 3.01</w:t>
      </w:r>
      <w:r>
        <w:rPr>
          <w:rFonts w:ascii="Times New Roman" w:hAnsi="Times New Roman"/>
          <w:color w:val="000000"/>
          <w:sz w:val="20"/>
        </w:rPr>
        <w:t xml:space="preserve"> Organization; Powers 76</w:t>
      </w:r>
    </w:p>
    <w:p>
      <w:pPr>
        <w:pStyle w:val="TextBody"/>
        <w:bidi w:val="0"/>
        <w:jc w:val="both"/>
        <w:rPr>
          <w:rFonts w:ascii="Times New Roman" w:hAnsi="Times New Roman"/>
          <w:sz w:val="20"/>
        </w:rPr>
      </w:pPr>
      <w:r>
        <w:rPr>
          <w:rFonts w:ascii="Times New Roman" w:hAnsi="Times New Roman"/>
          <w:caps/>
          <w:color w:val="000000"/>
          <w:sz w:val="20"/>
        </w:rPr>
        <w:t>Section 3.02</w:t>
      </w:r>
      <w:r>
        <w:rPr>
          <w:rFonts w:ascii="Times New Roman" w:hAnsi="Times New Roman"/>
          <w:color w:val="000000"/>
          <w:sz w:val="20"/>
        </w:rPr>
        <w:t xml:space="preserve"> Authorization; Enforceability 76</w:t>
      </w:r>
    </w:p>
    <w:p>
      <w:pPr>
        <w:pStyle w:val="TextBody"/>
        <w:bidi w:val="0"/>
        <w:jc w:val="both"/>
        <w:rPr>
          <w:rFonts w:ascii="Times New Roman" w:hAnsi="Times New Roman"/>
          <w:sz w:val="20"/>
        </w:rPr>
      </w:pPr>
      <w:r>
        <w:rPr>
          <w:rFonts w:ascii="Times New Roman" w:hAnsi="Times New Roman"/>
          <w:caps/>
          <w:color w:val="000000"/>
          <w:sz w:val="20"/>
        </w:rPr>
        <w:t>Section 3.03</w:t>
      </w:r>
      <w:r>
        <w:rPr>
          <w:rFonts w:ascii="Times New Roman" w:hAnsi="Times New Roman"/>
          <w:color w:val="000000"/>
          <w:sz w:val="20"/>
        </w:rPr>
        <w:t xml:space="preserve"> Governmental Approvals; No Conflicts 76</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jc w:val="both"/>
        <w:rPr>
          <w:rFonts w:ascii="Times New Roman" w:hAnsi="Times New Roman"/>
          <w:sz w:val="20"/>
        </w:rPr>
      </w:pPr>
      <w:r>
        <w:rPr>
          <w:rFonts w:ascii="Times New Roman" w:hAnsi="Times New Roman"/>
          <w:caps/>
          <w:color w:val="000000"/>
          <w:sz w:val="20"/>
        </w:rPr>
        <w:t>Section 3.04</w:t>
      </w:r>
      <w:r>
        <w:rPr>
          <w:rFonts w:ascii="Times New Roman" w:hAnsi="Times New Roman"/>
          <w:color w:val="000000"/>
          <w:sz w:val="20"/>
        </w:rPr>
        <w:t xml:space="preserve"> Financial Condition; No Material Adverse Change 7</w:t>
      </w:r>
      <w:r>
        <w:rPr>
          <w:rFonts w:ascii="Times New Roman" w:hAnsi="Times New Roman"/>
          <w:strike/>
          <w:color w:val="FF0000"/>
          <w:sz w:val="20"/>
        </w:rPr>
        <w:t>6</w:t>
      </w:r>
      <w:r>
        <w:rPr>
          <w:rFonts w:ascii="Times New Roman" w:hAnsi="Times New Roman"/>
          <w:color w:val="0000FF"/>
          <w:sz w:val="20"/>
          <w:u w:val="single"/>
        </w:rPr>
        <w:t>7</w:t>
      </w:r>
    </w:p>
    <w:p>
      <w:pPr>
        <w:pStyle w:val="TextBody"/>
        <w:bidi w:val="0"/>
        <w:jc w:val="both"/>
        <w:rPr>
          <w:rFonts w:ascii="Times New Roman" w:hAnsi="Times New Roman"/>
          <w:sz w:val="20"/>
        </w:rPr>
      </w:pPr>
      <w:r>
        <w:rPr>
          <w:rFonts w:ascii="Times New Roman" w:hAnsi="Times New Roman"/>
          <w:caps/>
          <w:color w:val="000000"/>
          <w:sz w:val="20"/>
        </w:rPr>
        <w:t>Section 3.05</w:t>
      </w:r>
      <w:r>
        <w:rPr>
          <w:rFonts w:ascii="Times New Roman" w:hAnsi="Times New Roman"/>
          <w:color w:val="000000"/>
          <w:sz w:val="20"/>
        </w:rPr>
        <w:t xml:space="preserve"> Properties; Intellectual Property 77</w:t>
      </w:r>
    </w:p>
    <w:p>
      <w:pPr>
        <w:pStyle w:val="TextBody"/>
        <w:bidi w:val="0"/>
        <w:jc w:val="both"/>
        <w:rPr>
          <w:rFonts w:ascii="Times New Roman" w:hAnsi="Times New Roman"/>
          <w:sz w:val="20"/>
        </w:rPr>
      </w:pPr>
      <w:r>
        <w:rPr>
          <w:rFonts w:ascii="Times New Roman" w:hAnsi="Times New Roman"/>
          <w:caps/>
          <w:color w:val="000000"/>
          <w:sz w:val="20"/>
        </w:rPr>
        <w:t>Section 3.06</w:t>
      </w:r>
      <w:r>
        <w:rPr>
          <w:rFonts w:ascii="Times New Roman" w:hAnsi="Times New Roman"/>
          <w:color w:val="000000"/>
          <w:sz w:val="20"/>
        </w:rPr>
        <w:t xml:space="preserve"> Litigation and Environmental Matters 77</w:t>
      </w:r>
    </w:p>
    <w:p>
      <w:pPr>
        <w:pStyle w:val="TextBody"/>
        <w:bidi w:val="0"/>
        <w:jc w:val="both"/>
        <w:rPr>
          <w:rFonts w:ascii="Times New Roman" w:hAnsi="Times New Roman"/>
          <w:sz w:val="20"/>
        </w:rPr>
      </w:pPr>
      <w:r>
        <w:rPr>
          <w:rFonts w:ascii="Times New Roman" w:hAnsi="Times New Roman"/>
          <w:caps/>
          <w:color w:val="000000"/>
          <w:sz w:val="20"/>
        </w:rPr>
        <w:t>Section 3.07</w:t>
      </w:r>
      <w:r>
        <w:rPr>
          <w:rFonts w:ascii="Times New Roman" w:hAnsi="Times New Roman"/>
          <w:color w:val="000000"/>
          <w:sz w:val="20"/>
        </w:rPr>
        <w:t xml:space="preserve"> Compliance with Laws and Agreements 7</w:t>
      </w:r>
      <w:r>
        <w:rPr>
          <w:rFonts w:ascii="Times New Roman" w:hAnsi="Times New Roman"/>
          <w:strike/>
          <w:color w:val="FF0000"/>
          <w:sz w:val="20"/>
        </w:rPr>
        <w:t>7</w:t>
      </w:r>
      <w:r>
        <w:rPr>
          <w:rFonts w:ascii="Times New Roman" w:hAnsi="Times New Roman"/>
          <w:color w:val="0000FF"/>
          <w:sz w:val="20"/>
          <w:u w:val="single"/>
        </w:rPr>
        <w:t>8</w:t>
      </w:r>
    </w:p>
    <w:p>
      <w:pPr>
        <w:pStyle w:val="TextBody"/>
        <w:bidi w:val="0"/>
        <w:jc w:val="both"/>
        <w:rPr>
          <w:rFonts w:ascii="Times New Roman" w:hAnsi="Times New Roman"/>
          <w:sz w:val="20"/>
        </w:rPr>
      </w:pPr>
      <w:r>
        <w:rPr>
          <w:rFonts w:ascii="Times New Roman" w:hAnsi="Times New Roman"/>
          <w:caps/>
          <w:color w:val="000000"/>
          <w:sz w:val="20"/>
        </w:rPr>
        <w:t>Section 3.08</w:t>
      </w:r>
      <w:r>
        <w:rPr>
          <w:rFonts w:ascii="Times New Roman" w:hAnsi="Times New Roman"/>
          <w:color w:val="000000"/>
          <w:sz w:val="20"/>
        </w:rPr>
        <w:t xml:space="preserve"> Investment Company Status 78</w:t>
      </w:r>
    </w:p>
    <w:p>
      <w:pPr>
        <w:pStyle w:val="TextBody"/>
        <w:bidi w:val="0"/>
        <w:jc w:val="both"/>
        <w:rPr>
          <w:rFonts w:ascii="Times New Roman" w:hAnsi="Times New Roman"/>
          <w:sz w:val="20"/>
        </w:rPr>
      </w:pPr>
      <w:r>
        <w:rPr>
          <w:rFonts w:ascii="Times New Roman" w:hAnsi="Times New Roman"/>
          <w:caps/>
          <w:color w:val="000000"/>
          <w:sz w:val="20"/>
        </w:rPr>
        <w:t>Section 3.09</w:t>
      </w:r>
      <w:r>
        <w:rPr>
          <w:rFonts w:ascii="Times New Roman" w:hAnsi="Times New Roman"/>
          <w:color w:val="000000"/>
          <w:sz w:val="20"/>
        </w:rPr>
        <w:t xml:space="preserve"> Taxes 78</w:t>
      </w:r>
    </w:p>
    <w:p>
      <w:pPr>
        <w:pStyle w:val="TextBody"/>
        <w:bidi w:val="0"/>
        <w:jc w:val="both"/>
        <w:rPr>
          <w:rFonts w:ascii="Times New Roman" w:hAnsi="Times New Roman"/>
          <w:sz w:val="20"/>
        </w:rPr>
      </w:pPr>
      <w:r>
        <w:rPr>
          <w:rFonts w:ascii="Times New Roman" w:hAnsi="Times New Roman"/>
          <w:caps/>
          <w:color w:val="000000"/>
          <w:sz w:val="20"/>
        </w:rPr>
        <w:t>Section 3.10</w:t>
      </w:r>
      <w:r>
        <w:rPr>
          <w:rFonts w:ascii="Times New Roman" w:hAnsi="Times New Roman"/>
          <w:color w:val="000000"/>
          <w:sz w:val="20"/>
        </w:rPr>
        <w:t xml:space="preserve"> ERISA 78</w:t>
      </w:r>
    </w:p>
    <w:p>
      <w:pPr>
        <w:pStyle w:val="TextBody"/>
        <w:bidi w:val="0"/>
        <w:jc w:val="both"/>
        <w:rPr>
          <w:rFonts w:ascii="Times New Roman" w:hAnsi="Times New Roman"/>
          <w:sz w:val="20"/>
        </w:rPr>
      </w:pPr>
      <w:r>
        <w:rPr>
          <w:rFonts w:ascii="Times New Roman" w:hAnsi="Times New Roman"/>
          <w:caps/>
          <w:color w:val="000000"/>
          <w:sz w:val="20"/>
        </w:rPr>
        <w:t>Section 3.11</w:t>
      </w:r>
      <w:r>
        <w:rPr>
          <w:rFonts w:ascii="Times New Roman" w:hAnsi="Times New Roman"/>
          <w:color w:val="000000"/>
          <w:sz w:val="20"/>
        </w:rPr>
        <w:t xml:space="preserve"> Disclosure 78</w:t>
      </w:r>
    </w:p>
    <w:p>
      <w:pPr>
        <w:pStyle w:val="TextBody"/>
        <w:bidi w:val="0"/>
        <w:jc w:val="both"/>
        <w:rPr>
          <w:rFonts w:ascii="Times New Roman" w:hAnsi="Times New Roman"/>
          <w:sz w:val="20"/>
        </w:rPr>
      </w:pPr>
      <w:r>
        <w:rPr>
          <w:rFonts w:ascii="Times New Roman" w:hAnsi="Times New Roman"/>
          <w:caps/>
          <w:color w:val="000000"/>
          <w:sz w:val="20"/>
        </w:rPr>
        <w:t>Section 3.12</w:t>
      </w:r>
      <w:r>
        <w:rPr>
          <w:rFonts w:ascii="Times New Roman" w:hAnsi="Times New Roman"/>
          <w:color w:val="000000"/>
          <w:sz w:val="20"/>
        </w:rPr>
        <w:t xml:space="preserve"> No Default 7</w:t>
      </w:r>
      <w:r>
        <w:rPr>
          <w:rFonts w:ascii="Times New Roman" w:hAnsi="Times New Roman"/>
          <w:strike/>
          <w:color w:val="FF0000"/>
          <w:sz w:val="20"/>
        </w:rPr>
        <w:t>8</w:t>
      </w:r>
      <w:r>
        <w:rPr>
          <w:rFonts w:ascii="Times New Roman" w:hAnsi="Times New Roman"/>
          <w:color w:val="0000FF"/>
          <w:sz w:val="20"/>
          <w:u w:val="single"/>
        </w:rPr>
        <w:t>9</w:t>
      </w:r>
    </w:p>
    <w:p>
      <w:pPr>
        <w:pStyle w:val="TextBody"/>
        <w:bidi w:val="0"/>
        <w:jc w:val="both"/>
        <w:rPr>
          <w:rFonts w:ascii="Times New Roman" w:hAnsi="Times New Roman"/>
          <w:sz w:val="20"/>
        </w:rPr>
      </w:pPr>
      <w:r>
        <w:rPr>
          <w:rFonts w:ascii="Times New Roman" w:hAnsi="Times New Roman"/>
          <w:caps/>
          <w:color w:val="000000"/>
          <w:sz w:val="20"/>
        </w:rPr>
        <w:t>Section 3.13</w:t>
      </w:r>
      <w:r>
        <w:rPr>
          <w:rFonts w:ascii="Times New Roman" w:hAnsi="Times New Roman"/>
          <w:color w:val="000000"/>
          <w:sz w:val="20"/>
        </w:rPr>
        <w:t xml:space="preserve"> Solvency 7</w:t>
      </w:r>
      <w:r>
        <w:rPr>
          <w:rFonts w:ascii="Times New Roman" w:hAnsi="Times New Roman"/>
          <w:strike/>
          <w:color w:val="FF0000"/>
          <w:sz w:val="20"/>
        </w:rPr>
        <w:t>8</w:t>
      </w:r>
      <w:r>
        <w:rPr>
          <w:rFonts w:ascii="Times New Roman" w:hAnsi="Times New Roman"/>
          <w:color w:val="0000FF"/>
          <w:sz w:val="20"/>
          <w:u w:val="single"/>
        </w:rPr>
        <w:t>9</w:t>
      </w:r>
    </w:p>
    <w:p>
      <w:pPr>
        <w:pStyle w:val="TextBody"/>
        <w:bidi w:val="0"/>
        <w:jc w:val="both"/>
        <w:rPr>
          <w:rFonts w:ascii="Times New Roman" w:hAnsi="Times New Roman"/>
          <w:sz w:val="20"/>
        </w:rPr>
      </w:pPr>
      <w:r>
        <w:rPr>
          <w:rFonts w:ascii="Times New Roman" w:hAnsi="Times New Roman"/>
          <w:caps/>
          <w:color w:val="000000"/>
          <w:sz w:val="20"/>
        </w:rPr>
        <w:t>Section 3.14</w:t>
      </w:r>
      <w:r>
        <w:rPr>
          <w:rFonts w:ascii="Times New Roman" w:hAnsi="Times New Roman"/>
          <w:color w:val="000000"/>
          <w:sz w:val="20"/>
        </w:rPr>
        <w:t xml:space="preserve"> Insurance 7</w:t>
      </w:r>
      <w:r>
        <w:rPr>
          <w:rFonts w:ascii="Times New Roman" w:hAnsi="Times New Roman"/>
          <w:strike/>
          <w:color w:val="FF0000"/>
          <w:sz w:val="20"/>
        </w:rPr>
        <w:t>8</w:t>
      </w:r>
      <w:r>
        <w:rPr>
          <w:rFonts w:ascii="Times New Roman" w:hAnsi="Times New Roman"/>
          <w:color w:val="0000FF"/>
          <w:sz w:val="20"/>
          <w:u w:val="single"/>
        </w:rPr>
        <w:t>9</w:t>
      </w:r>
    </w:p>
    <w:p>
      <w:pPr>
        <w:pStyle w:val="TextBody"/>
        <w:bidi w:val="0"/>
        <w:jc w:val="both"/>
        <w:rPr>
          <w:rFonts w:ascii="Times New Roman" w:hAnsi="Times New Roman"/>
          <w:sz w:val="20"/>
        </w:rPr>
      </w:pPr>
      <w:r>
        <w:rPr>
          <w:rFonts w:ascii="Times New Roman" w:hAnsi="Times New Roman"/>
          <w:caps/>
          <w:color w:val="000000"/>
          <w:sz w:val="20"/>
        </w:rPr>
        <w:t>Section 3.15</w:t>
      </w:r>
      <w:r>
        <w:rPr>
          <w:rFonts w:ascii="Times New Roman" w:hAnsi="Times New Roman"/>
          <w:color w:val="000000"/>
          <w:sz w:val="20"/>
        </w:rPr>
        <w:t xml:space="preserve"> Capitalization and Subsidiaries 7</w:t>
      </w:r>
      <w:r>
        <w:rPr>
          <w:rFonts w:ascii="Times New Roman" w:hAnsi="Times New Roman"/>
          <w:strike/>
          <w:color w:val="FF0000"/>
          <w:sz w:val="20"/>
        </w:rPr>
        <w:t>8</w:t>
      </w:r>
      <w:r>
        <w:rPr>
          <w:rFonts w:ascii="Times New Roman" w:hAnsi="Times New Roman"/>
          <w:color w:val="0000FF"/>
          <w:sz w:val="20"/>
          <w:u w:val="single"/>
        </w:rPr>
        <w:t>9</w:t>
      </w:r>
    </w:p>
    <w:p>
      <w:pPr>
        <w:pStyle w:val="TextBody"/>
        <w:bidi w:val="0"/>
        <w:jc w:val="both"/>
        <w:rPr>
          <w:rFonts w:ascii="Times New Roman" w:hAnsi="Times New Roman"/>
          <w:sz w:val="20"/>
        </w:rPr>
      </w:pPr>
      <w:r>
        <w:rPr>
          <w:rFonts w:ascii="Times New Roman" w:hAnsi="Times New Roman"/>
          <w:caps/>
          <w:color w:val="000000"/>
          <w:sz w:val="20"/>
        </w:rPr>
        <w:t>Section 3.16</w:t>
      </w:r>
      <w:r>
        <w:rPr>
          <w:rFonts w:ascii="Times New Roman" w:hAnsi="Times New Roman"/>
          <w:color w:val="000000"/>
          <w:sz w:val="20"/>
        </w:rPr>
        <w:t xml:space="preserve"> Security Interest in Collateral 79</w:t>
      </w:r>
    </w:p>
    <w:p>
      <w:pPr>
        <w:pStyle w:val="TextBody"/>
        <w:bidi w:val="0"/>
        <w:jc w:val="both"/>
        <w:rPr>
          <w:rFonts w:ascii="Times New Roman" w:hAnsi="Times New Roman"/>
          <w:sz w:val="20"/>
        </w:rPr>
      </w:pPr>
      <w:r>
        <w:rPr>
          <w:rFonts w:ascii="Times New Roman" w:hAnsi="Times New Roman"/>
          <w:caps/>
          <w:color w:val="000000"/>
          <w:sz w:val="20"/>
        </w:rPr>
        <w:t>Section 3.17</w:t>
      </w:r>
      <w:r>
        <w:rPr>
          <w:rFonts w:ascii="Times New Roman" w:hAnsi="Times New Roman"/>
          <w:color w:val="000000"/>
          <w:sz w:val="20"/>
        </w:rPr>
        <w:t xml:space="preserve"> Employment Matters 79</w:t>
      </w:r>
    </w:p>
    <w:p>
      <w:pPr>
        <w:pStyle w:val="TextBody"/>
        <w:bidi w:val="0"/>
        <w:jc w:val="both"/>
        <w:rPr>
          <w:rFonts w:ascii="Times New Roman" w:hAnsi="Times New Roman"/>
          <w:sz w:val="20"/>
        </w:rPr>
      </w:pPr>
      <w:r>
        <w:rPr>
          <w:rFonts w:ascii="Times New Roman" w:hAnsi="Times New Roman"/>
          <w:caps/>
          <w:color w:val="000000"/>
          <w:sz w:val="20"/>
        </w:rPr>
        <w:t>Section 3.18</w:t>
      </w:r>
      <w:r>
        <w:rPr>
          <w:rFonts w:ascii="Times New Roman" w:hAnsi="Times New Roman"/>
          <w:color w:val="000000"/>
          <w:sz w:val="20"/>
        </w:rPr>
        <w:t xml:space="preserve"> Margin Regulations 79</w:t>
      </w:r>
    </w:p>
    <w:p>
      <w:pPr>
        <w:pStyle w:val="TextBody"/>
        <w:bidi w:val="0"/>
        <w:jc w:val="both"/>
        <w:rPr>
          <w:rFonts w:ascii="Times New Roman" w:hAnsi="Times New Roman"/>
          <w:sz w:val="20"/>
        </w:rPr>
      </w:pPr>
      <w:r>
        <w:rPr>
          <w:rFonts w:ascii="Times New Roman" w:hAnsi="Times New Roman"/>
          <w:caps/>
          <w:color w:val="000000"/>
          <w:sz w:val="20"/>
        </w:rPr>
        <w:t>Section 3.19</w:t>
      </w:r>
      <w:r>
        <w:rPr>
          <w:rFonts w:ascii="Times New Roman" w:hAnsi="Times New Roman"/>
          <w:color w:val="000000"/>
          <w:sz w:val="20"/>
        </w:rPr>
        <w:t xml:space="preserve"> [Intentionally Omitted] 79</w:t>
      </w:r>
    </w:p>
    <w:p>
      <w:pPr>
        <w:pStyle w:val="TextBody"/>
        <w:bidi w:val="0"/>
        <w:jc w:val="both"/>
        <w:rPr>
          <w:rFonts w:ascii="Times New Roman" w:hAnsi="Times New Roman"/>
          <w:sz w:val="20"/>
        </w:rPr>
      </w:pPr>
      <w:r>
        <w:rPr>
          <w:rFonts w:ascii="Times New Roman" w:hAnsi="Times New Roman"/>
          <w:caps/>
          <w:color w:val="000000"/>
          <w:sz w:val="20"/>
        </w:rPr>
        <w:t>Section 3.20</w:t>
      </w:r>
      <w:r>
        <w:rPr>
          <w:rFonts w:ascii="Times New Roman" w:hAnsi="Times New Roman"/>
          <w:color w:val="000000"/>
          <w:sz w:val="20"/>
        </w:rPr>
        <w:t xml:space="preserve"> Anti-Corruption and Anti-Terrorism Laws and Sanctions </w:t>
      </w:r>
      <w:r>
        <w:rPr>
          <w:rFonts w:ascii="Times New Roman" w:hAnsi="Times New Roman"/>
          <w:strike/>
          <w:color w:val="FF0000"/>
          <w:sz w:val="20"/>
        </w:rPr>
        <w:t>79</w:t>
      </w:r>
      <w:r>
        <w:rPr>
          <w:rFonts w:ascii="Times New Roman" w:hAnsi="Times New Roman"/>
          <w:color w:val="0000FF"/>
          <w:sz w:val="20"/>
          <w:u w:val="single"/>
        </w:rPr>
        <w:t>80</w:t>
      </w:r>
    </w:p>
    <w:p>
      <w:pPr>
        <w:pStyle w:val="TextBody"/>
        <w:bidi w:val="0"/>
        <w:jc w:val="both"/>
        <w:rPr>
          <w:rFonts w:ascii="Times New Roman" w:hAnsi="Times New Roman"/>
          <w:sz w:val="20"/>
        </w:rPr>
      </w:pPr>
      <w:r>
        <w:rPr>
          <w:rFonts w:ascii="Times New Roman" w:hAnsi="Times New Roman"/>
          <w:caps/>
          <w:color w:val="000000"/>
          <w:sz w:val="20"/>
        </w:rPr>
        <w:t>Section 3.21</w:t>
      </w:r>
      <w:r>
        <w:rPr>
          <w:rFonts w:ascii="Times New Roman" w:hAnsi="Times New Roman"/>
          <w:color w:val="000000"/>
          <w:sz w:val="20"/>
        </w:rPr>
        <w:t xml:space="preserve"> Federal Reserve Regulations 80</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IV CONDITIONS 80</w:t>
      </w:r>
    </w:p>
    <w:p>
      <w:pPr>
        <w:pStyle w:val="TextBody"/>
        <w:bidi w:val="0"/>
        <w:jc w:val="both"/>
        <w:rPr>
          <w:rFonts w:ascii="Times New Roman" w:hAnsi="Times New Roman"/>
          <w:sz w:val="20"/>
        </w:rPr>
      </w:pPr>
      <w:r>
        <w:rPr>
          <w:rFonts w:ascii="Times New Roman" w:hAnsi="Times New Roman"/>
          <w:caps/>
          <w:color w:val="000000"/>
          <w:sz w:val="20"/>
        </w:rPr>
        <w:t>Section 4.01</w:t>
      </w:r>
      <w:r>
        <w:rPr>
          <w:rFonts w:ascii="Times New Roman" w:hAnsi="Times New Roman"/>
          <w:color w:val="000000"/>
          <w:sz w:val="20"/>
        </w:rPr>
        <w:t xml:space="preserve"> Effective Date 80</w:t>
      </w:r>
    </w:p>
    <w:p>
      <w:pPr>
        <w:pStyle w:val="TextBody"/>
        <w:bidi w:val="0"/>
        <w:jc w:val="both"/>
        <w:rPr>
          <w:rFonts w:ascii="Times New Roman" w:hAnsi="Times New Roman"/>
          <w:sz w:val="20"/>
        </w:rPr>
      </w:pPr>
      <w:r>
        <w:rPr>
          <w:rFonts w:ascii="Times New Roman" w:hAnsi="Times New Roman"/>
          <w:caps/>
          <w:color w:val="000000"/>
          <w:sz w:val="20"/>
        </w:rPr>
        <w:t>Section 4.02</w:t>
      </w:r>
      <w:r>
        <w:rPr>
          <w:rFonts w:ascii="Times New Roman" w:hAnsi="Times New Roman"/>
          <w:color w:val="000000"/>
          <w:sz w:val="20"/>
        </w:rPr>
        <w:t xml:space="preserve"> [Intentionally Omitted]. 82</w:t>
      </w:r>
    </w:p>
    <w:p>
      <w:pPr>
        <w:pStyle w:val="TextBody"/>
        <w:bidi w:val="0"/>
        <w:jc w:val="both"/>
        <w:rPr>
          <w:rFonts w:ascii="Times New Roman" w:hAnsi="Times New Roman"/>
          <w:sz w:val="20"/>
        </w:rPr>
      </w:pPr>
      <w:r>
        <w:rPr>
          <w:rFonts w:ascii="Times New Roman" w:hAnsi="Times New Roman"/>
          <w:caps/>
          <w:color w:val="000000"/>
          <w:sz w:val="20"/>
        </w:rPr>
        <w:t>Section 4.03</w:t>
      </w:r>
      <w:r>
        <w:rPr>
          <w:rFonts w:ascii="Times New Roman" w:hAnsi="Times New Roman"/>
          <w:color w:val="000000"/>
          <w:sz w:val="20"/>
        </w:rPr>
        <w:t xml:space="preserve"> [Intentionally Omitted]. 82</w:t>
      </w:r>
    </w:p>
    <w:p>
      <w:pPr>
        <w:pStyle w:val="TextBody"/>
        <w:bidi w:val="0"/>
        <w:jc w:val="both"/>
        <w:rPr>
          <w:rFonts w:ascii="Times New Roman" w:hAnsi="Times New Roman"/>
          <w:sz w:val="20"/>
        </w:rPr>
      </w:pPr>
      <w:r>
        <w:rPr>
          <w:rFonts w:ascii="Times New Roman" w:hAnsi="Times New Roman"/>
          <w:caps/>
          <w:color w:val="000000"/>
          <w:sz w:val="20"/>
        </w:rPr>
        <w:t>Section 4.04</w:t>
      </w:r>
      <w:r>
        <w:rPr>
          <w:rFonts w:ascii="Times New Roman" w:hAnsi="Times New Roman"/>
          <w:color w:val="000000"/>
          <w:sz w:val="20"/>
        </w:rPr>
        <w:t xml:space="preserve"> Each Credit Event 82</w:t>
      </w:r>
    </w:p>
    <w:p>
      <w:pPr>
        <w:pStyle w:val="TextBody"/>
        <w:bidi w:val="0"/>
        <w:spacing w:before="240" w:after="240"/>
        <w:jc w:val="center"/>
        <w:rPr>
          <w:rFonts w:ascii="Times New Roman" w:hAnsi="Times New Roman"/>
          <w:sz w:val="20"/>
        </w:rPr>
      </w:pPr>
      <w:r>
        <w:rPr>
          <w:rFonts w:ascii="Times New Roman" w:hAnsi="Times New Roman"/>
          <w:caps/>
          <w:color w:val="000000"/>
          <w:sz w:val="20"/>
        </w:rPr>
        <w:t>Article V AFFIRMATIVE COVENANTS 8</w:t>
      </w:r>
      <w:r>
        <w:rPr>
          <w:rFonts w:ascii="Times New Roman" w:hAnsi="Times New Roman"/>
          <w:caps/>
          <w:strike/>
          <w:color w:val="FF0000"/>
          <w:sz w:val="20"/>
        </w:rPr>
        <w:t>2</w:t>
      </w:r>
      <w:r>
        <w:rPr>
          <w:rFonts w:ascii="Times New Roman" w:hAnsi="Times New Roman"/>
          <w:caps/>
          <w:color w:val="0000FF"/>
          <w:sz w:val="20"/>
          <w:u w:val="single"/>
        </w:rPr>
        <w:t>3</w:t>
      </w:r>
    </w:p>
    <w:p>
      <w:pPr>
        <w:pStyle w:val="TextBody"/>
        <w:bidi w:val="0"/>
        <w:jc w:val="both"/>
        <w:rPr>
          <w:rFonts w:ascii="Times New Roman" w:hAnsi="Times New Roman"/>
          <w:sz w:val="20"/>
        </w:rPr>
      </w:pPr>
      <w:r>
        <w:rPr>
          <w:rFonts w:ascii="Times New Roman" w:hAnsi="Times New Roman"/>
          <w:caps/>
          <w:color w:val="000000"/>
          <w:sz w:val="20"/>
        </w:rPr>
        <w:t>Section 5.01</w:t>
      </w:r>
      <w:r>
        <w:rPr>
          <w:rFonts w:ascii="Times New Roman" w:hAnsi="Times New Roman"/>
          <w:color w:val="000000"/>
          <w:sz w:val="20"/>
        </w:rPr>
        <w:t xml:space="preserve"> Financial Statements and Other Information 8</w:t>
      </w:r>
      <w:r>
        <w:rPr>
          <w:rFonts w:ascii="Times New Roman" w:hAnsi="Times New Roman"/>
          <w:strike/>
          <w:color w:val="FF0000"/>
          <w:sz w:val="20"/>
        </w:rPr>
        <w:t>2</w:t>
      </w:r>
      <w:r>
        <w:rPr>
          <w:rFonts w:ascii="Times New Roman" w:hAnsi="Times New Roman"/>
          <w:color w:val="0000FF"/>
          <w:sz w:val="20"/>
          <w:u w:val="single"/>
        </w:rPr>
        <w:t>3</w:t>
      </w:r>
    </w:p>
    <w:p>
      <w:pPr>
        <w:pStyle w:val="TextBody"/>
        <w:bidi w:val="0"/>
        <w:jc w:val="both"/>
        <w:rPr>
          <w:rFonts w:ascii="Times New Roman" w:hAnsi="Times New Roman"/>
          <w:sz w:val="20"/>
        </w:rPr>
      </w:pPr>
      <w:r>
        <w:rPr>
          <w:rFonts w:ascii="Times New Roman" w:hAnsi="Times New Roman"/>
          <w:caps/>
          <w:color w:val="000000"/>
          <w:sz w:val="20"/>
        </w:rPr>
        <w:t>Section 5.02</w:t>
      </w:r>
      <w:r>
        <w:rPr>
          <w:rFonts w:ascii="Times New Roman" w:hAnsi="Times New Roman"/>
          <w:color w:val="000000"/>
          <w:sz w:val="20"/>
        </w:rPr>
        <w:t xml:space="preserve"> Notices of Material Events 8</w:t>
      </w:r>
      <w:r>
        <w:rPr>
          <w:rFonts w:ascii="Times New Roman" w:hAnsi="Times New Roman"/>
          <w:strike/>
          <w:color w:val="FF0000"/>
          <w:sz w:val="20"/>
        </w:rPr>
        <w:t>4</w:t>
      </w:r>
      <w:r>
        <w:rPr>
          <w:rFonts w:ascii="Times New Roman" w:hAnsi="Times New Roman"/>
          <w:color w:val="0000FF"/>
          <w:sz w:val="20"/>
          <w:u w:val="single"/>
        </w:rPr>
        <w:t>5</w:t>
      </w:r>
    </w:p>
    <w:p>
      <w:pPr>
        <w:pStyle w:val="TextBody"/>
        <w:bidi w:val="0"/>
        <w:jc w:val="both"/>
        <w:rPr>
          <w:rFonts w:ascii="Times New Roman" w:hAnsi="Times New Roman"/>
          <w:sz w:val="20"/>
        </w:rPr>
      </w:pPr>
      <w:r>
        <w:rPr>
          <w:rFonts w:ascii="Times New Roman" w:hAnsi="Times New Roman"/>
          <w:caps/>
          <w:color w:val="000000"/>
          <w:sz w:val="20"/>
        </w:rPr>
        <w:t>Section 5.03</w:t>
      </w:r>
      <w:r>
        <w:rPr>
          <w:rFonts w:ascii="Times New Roman" w:hAnsi="Times New Roman"/>
          <w:color w:val="000000"/>
          <w:sz w:val="20"/>
        </w:rPr>
        <w:t xml:space="preserve"> Existence; Conduct of Business 85</w:t>
      </w:r>
    </w:p>
    <w:p>
      <w:pPr>
        <w:pStyle w:val="TextBody"/>
        <w:bidi w:val="0"/>
        <w:jc w:val="both"/>
        <w:rPr>
          <w:rFonts w:ascii="Times New Roman" w:hAnsi="Times New Roman"/>
          <w:sz w:val="20"/>
        </w:rPr>
      </w:pPr>
      <w:r>
        <w:rPr>
          <w:rFonts w:ascii="Times New Roman" w:hAnsi="Times New Roman"/>
          <w:caps/>
          <w:color w:val="000000"/>
          <w:sz w:val="20"/>
        </w:rPr>
        <w:t>Section 5.04</w:t>
      </w:r>
      <w:r>
        <w:rPr>
          <w:rFonts w:ascii="Times New Roman" w:hAnsi="Times New Roman"/>
          <w:color w:val="000000"/>
          <w:sz w:val="20"/>
        </w:rPr>
        <w:t xml:space="preserve"> Payment of Taxes 85</w:t>
      </w:r>
    </w:p>
    <w:p>
      <w:pPr>
        <w:pStyle w:val="TextBody"/>
        <w:bidi w:val="0"/>
        <w:jc w:val="both"/>
        <w:rPr>
          <w:rFonts w:ascii="Times New Roman" w:hAnsi="Times New Roman"/>
          <w:sz w:val="20"/>
        </w:rPr>
      </w:pPr>
      <w:r>
        <w:rPr>
          <w:rFonts w:ascii="Times New Roman" w:hAnsi="Times New Roman"/>
          <w:caps/>
          <w:color w:val="000000"/>
          <w:sz w:val="20"/>
        </w:rPr>
        <w:t>Section 5.05</w:t>
      </w:r>
      <w:r>
        <w:rPr>
          <w:rFonts w:ascii="Times New Roman" w:hAnsi="Times New Roman"/>
          <w:color w:val="000000"/>
          <w:sz w:val="20"/>
        </w:rPr>
        <w:t xml:space="preserve"> Maintenance of Properties 8</w:t>
      </w:r>
      <w:r>
        <w:rPr>
          <w:rFonts w:ascii="Times New Roman" w:hAnsi="Times New Roman"/>
          <w:strike/>
          <w:color w:val="FF0000"/>
          <w:sz w:val="20"/>
        </w:rPr>
        <w:t>5</w:t>
      </w:r>
      <w:r>
        <w:rPr>
          <w:rFonts w:ascii="Times New Roman" w:hAnsi="Times New Roman"/>
          <w:color w:val="0000FF"/>
          <w:sz w:val="20"/>
          <w:u w:val="single"/>
        </w:rPr>
        <w:t>6</w:t>
      </w:r>
    </w:p>
    <w:p>
      <w:pPr>
        <w:pStyle w:val="TextBody"/>
        <w:bidi w:val="0"/>
        <w:jc w:val="both"/>
        <w:rPr>
          <w:rFonts w:ascii="Times New Roman" w:hAnsi="Times New Roman"/>
          <w:sz w:val="20"/>
        </w:rPr>
      </w:pPr>
      <w:r>
        <w:rPr>
          <w:rFonts w:ascii="Times New Roman" w:hAnsi="Times New Roman"/>
          <w:caps/>
          <w:color w:val="000000"/>
          <w:sz w:val="20"/>
        </w:rPr>
        <w:t>Section 5.06</w:t>
      </w:r>
      <w:r>
        <w:rPr>
          <w:rFonts w:ascii="Times New Roman" w:hAnsi="Times New Roman"/>
          <w:color w:val="000000"/>
          <w:sz w:val="20"/>
        </w:rPr>
        <w:t xml:space="preserve"> Books and Records; Inspection Rights 8</w:t>
      </w:r>
      <w:r>
        <w:rPr>
          <w:rFonts w:ascii="Times New Roman" w:hAnsi="Times New Roman"/>
          <w:strike/>
          <w:color w:val="FF0000"/>
          <w:sz w:val="20"/>
        </w:rPr>
        <w:t>5</w:t>
      </w:r>
      <w:r>
        <w:rPr>
          <w:rFonts w:ascii="Times New Roman" w:hAnsi="Times New Roman"/>
          <w:color w:val="0000FF"/>
          <w:sz w:val="20"/>
          <w:u w:val="single"/>
        </w:rPr>
        <w:t>6</w:t>
      </w:r>
    </w:p>
    <w:p>
      <w:pPr>
        <w:pStyle w:val="TextBody"/>
        <w:bidi w:val="0"/>
        <w:jc w:val="both"/>
        <w:rPr>
          <w:rFonts w:ascii="Times New Roman" w:hAnsi="Times New Roman"/>
          <w:sz w:val="20"/>
        </w:rPr>
      </w:pPr>
      <w:r>
        <w:rPr>
          <w:rFonts w:ascii="Times New Roman" w:hAnsi="Times New Roman"/>
          <w:caps/>
          <w:color w:val="000000"/>
          <w:sz w:val="20"/>
        </w:rPr>
        <w:t>Section 5.07</w:t>
      </w:r>
      <w:r>
        <w:rPr>
          <w:rFonts w:ascii="Times New Roman" w:hAnsi="Times New Roman"/>
          <w:color w:val="000000"/>
          <w:sz w:val="20"/>
        </w:rPr>
        <w:t xml:space="preserve"> Compliance with Laws 8</w:t>
      </w:r>
      <w:r>
        <w:rPr>
          <w:rFonts w:ascii="Times New Roman" w:hAnsi="Times New Roman"/>
          <w:strike/>
          <w:color w:val="FF0000"/>
          <w:sz w:val="20"/>
        </w:rPr>
        <w:t>5</w:t>
      </w:r>
      <w:r>
        <w:rPr>
          <w:rFonts w:ascii="Times New Roman" w:hAnsi="Times New Roman"/>
          <w:color w:val="0000FF"/>
          <w:sz w:val="20"/>
          <w:u w:val="single"/>
        </w:rPr>
        <w:t>6</w:t>
      </w:r>
    </w:p>
    <w:p>
      <w:pPr>
        <w:pStyle w:val="TextBody"/>
        <w:bidi w:val="0"/>
        <w:jc w:val="both"/>
        <w:rPr>
          <w:rFonts w:ascii="Times New Roman" w:hAnsi="Times New Roman"/>
          <w:sz w:val="20"/>
        </w:rPr>
      </w:pPr>
      <w:r>
        <w:rPr>
          <w:rFonts w:ascii="Times New Roman" w:hAnsi="Times New Roman"/>
          <w:caps/>
          <w:color w:val="000000"/>
          <w:sz w:val="20"/>
        </w:rPr>
        <w:t>Section 5.08</w:t>
      </w:r>
      <w:r>
        <w:rPr>
          <w:rFonts w:ascii="Times New Roman" w:hAnsi="Times New Roman"/>
          <w:color w:val="000000"/>
          <w:sz w:val="20"/>
        </w:rPr>
        <w:t xml:space="preserve"> Use of Proceeds and Letters of Credit 86</w:t>
      </w:r>
    </w:p>
    <w:p>
      <w:pPr>
        <w:pStyle w:val="TextBody"/>
        <w:bidi w:val="0"/>
        <w:jc w:val="both"/>
        <w:rPr>
          <w:rFonts w:ascii="Times New Roman" w:hAnsi="Times New Roman"/>
          <w:sz w:val="20"/>
        </w:rPr>
      </w:pPr>
      <w:r>
        <w:rPr>
          <w:rFonts w:ascii="Times New Roman" w:hAnsi="Times New Roman"/>
          <w:caps/>
          <w:color w:val="000000"/>
          <w:sz w:val="20"/>
        </w:rPr>
        <w:t>Section 5.09</w:t>
      </w:r>
      <w:r>
        <w:rPr>
          <w:rFonts w:ascii="Times New Roman" w:hAnsi="Times New Roman"/>
          <w:color w:val="000000"/>
          <w:sz w:val="20"/>
        </w:rPr>
        <w:t xml:space="preserve"> Insurance 86</w:t>
      </w:r>
    </w:p>
    <w:p>
      <w:pPr>
        <w:pStyle w:val="TextBody"/>
        <w:bidi w:val="0"/>
        <w:jc w:val="both"/>
        <w:rPr>
          <w:rFonts w:ascii="Times New Roman" w:hAnsi="Times New Roman"/>
          <w:sz w:val="20"/>
        </w:rPr>
      </w:pPr>
      <w:r>
        <w:rPr>
          <w:rFonts w:ascii="Times New Roman" w:hAnsi="Times New Roman"/>
          <w:caps/>
          <w:color w:val="000000"/>
          <w:sz w:val="20"/>
        </w:rPr>
        <w:t>Section 5.10</w:t>
      </w:r>
      <w:r>
        <w:rPr>
          <w:rFonts w:ascii="Times New Roman" w:hAnsi="Times New Roman"/>
          <w:color w:val="000000"/>
          <w:sz w:val="20"/>
        </w:rPr>
        <w:t xml:space="preserve"> Additional Subsidiaries 87</w:t>
      </w:r>
    </w:p>
    <w:p>
      <w:pPr>
        <w:pStyle w:val="TextBody"/>
        <w:bidi w:val="0"/>
        <w:jc w:val="both"/>
        <w:rPr>
          <w:rFonts w:ascii="Times New Roman" w:hAnsi="Times New Roman"/>
          <w:sz w:val="20"/>
        </w:rPr>
      </w:pPr>
      <w:r>
        <w:rPr>
          <w:rFonts w:ascii="Times New Roman" w:hAnsi="Times New Roman"/>
          <w:caps/>
          <w:color w:val="000000"/>
          <w:sz w:val="20"/>
        </w:rPr>
        <w:t>Section 5.11</w:t>
      </w:r>
      <w:r>
        <w:rPr>
          <w:rFonts w:ascii="Times New Roman" w:hAnsi="Times New Roman"/>
          <w:color w:val="000000"/>
          <w:sz w:val="20"/>
        </w:rPr>
        <w:t xml:space="preserve"> Additional Collateral; Further Assurances 87</w:t>
      </w:r>
    </w:p>
    <w:p>
      <w:pPr>
        <w:pStyle w:val="TextBody"/>
        <w:bidi w:val="0"/>
        <w:jc w:val="both"/>
        <w:rPr>
          <w:rFonts w:ascii="Times New Roman" w:hAnsi="Times New Roman"/>
          <w:sz w:val="20"/>
        </w:rPr>
      </w:pPr>
      <w:r>
        <w:rPr>
          <w:rFonts w:ascii="Times New Roman" w:hAnsi="Times New Roman"/>
          <w:caps/>
          <w:color w:val="000000"/>
          <w:sz w:val="20"/>
        </w:rPr>
        <w:t>Section 5.12</w:t>
      </w:r>
      <w:r>
        <w:rPr>
          <w:rFonts w:ascii="Times New Roman" w:hAnsi="Times New Roman"/>
          <w:color w:val="000000"/>
          <w:sz w:val="20"/>
        </w:rPr>
        <w:t xml:space="preserve"> Transactions with Affiliates 8</w:t>
      </w:r>
      <w:r>
        <w:rPr>
          <w:rFonts w:ascii="Times New Roman" w:hAnsi="Times New Roman"/>
          <w:strike/>
          <w:color w:val="FF0000"/>
          <w:sz w:val="20"/>
        </w:rPr>
        <w:t>8</w:t>
      </w:r>
      <w:r>
        <w:rPr>
          <w:rFonts w:ascii="Times New Roman" w:hAnsi="Times New Roman"/>
          <w:color w:val="0000FF"/>
          <w:sz w:val="20"/>
          <w:u w:val="single"/>
        </w:rPr>
        <w:t>9</w:t>
      </w:r>
    </w:p>
    <w:p>
      <w:pPr>
        <w:pStyle w:val="TextBody"/>
        <w:bidi w:val="0"/>
        <w:jc w:val="both"/>
        <w:rPr>
          <w:rFonts w:ascii="Times New Roman" w:hAnsi="Times New Roman"/>
          <w:sz w:val="20"/>
        </w:rPr>
      </w:pPr>
      <w:r>
        <w:rPr>
          <w:rFonts w:ascii="Times New Roman" w:hAnsi="Times New Roman"/>
          <w:caps/>
          <w:color w:val="000000"/>
          <w:sz w:val="20"/>
        </w:rPr>
        <w:t>Section 5.13</w:t>
      </w:r>
      <w:r>
        <w:rPr>
          <w:rFonts w:ascii="Times New Roman" w:hAnsi="Times New Roman"/>
          <w:color w:val="000000"/>
          <w:sz w:val="20"/>
        </w:rPr>
        <w:t xml:space="preserve"> Post-Effective Date Covenant </w:t>
      </w:r>
      <w:r>
        <w:rPr>
          <w:rFonts w:ascii="Times New Roman" w:hAnsi="Times New Roman"/>
          <w:strike/>
          <w:color w:val="FF0000"/>
          <w:sz w:val="20"/>
        </w:rPr>
        <w:t>8</w:t>
      </w:r>
      <w:r>
        <w:rPr>
          <w:rFonts w:ascii="Times New Roman" w:hAnsi="Times New Roman"/>
          <w:color w:val="000000"/>
          <w:sz w:val="20"/>
        </w:rPr>
        <w:t>9</w:t>
      </w:r>
      <w:r>
        <w:rPr>
          <w:rFonts w:ascii="Times New Roman" w:hAnsi="Times New Roman"/>
          <w:color w:val="0000FF"/>
          <w:sz w:val="20"/>
          <w:u w:val="single"/>
        </w:rPr>
        <w:t>0</w:t>
      </w:r>
    </w:p>
    <w:p>
      <w:pPr>
        <w:pStyle w:val="TextBody"/>
        <w:bidi w:val="0"/>
        <w:jc w:val="both"/>
        <w:rPr>
          <w:rFonts w:ascii="Times New Roman" w:hAnsi="Times New Roman"/>
          <w:sz w:val="20"/>
        </w:rPr>
      </w:pPr>
      <w:r>
        <w:rPr>
          <w:rFonts w:ascii="Times New Roman" w:hAnsi="Times New Roman"/>
          <w:caps/>
          <w:color w:val="000000"/>
          <w:sz w:val="20"/>
        </w:rPr>
        <w:t>Section 5.14</w:t>
      </w:r>
      <w:r>
        <w:rPr>
          <w:rFonts w:ascii="Times New Roman" w:hAnsi="Times New Roman"/>
          <w:color w:val="000000"/>
          <w:sz w:val="20"/>
        </w:rPr>
        <w:t xml:space="preserve"> Cash Management </w:t>
      </w:r>
      <w:r>
        <w:rPr>
          <w:rFonts w:ascii="Times New Roman" w:hAnsi="Times New Roman"/>
          <w:strike/>
          <w:color w:val="FF0000"/>
          <w:sz w:val="20"/>
        </w:rPr>
        <w:t>8</w:t>
      </w:r>
      <w:r>
        <w:rPr>
          <w:rFonts w:ascii="Times New Roman" w:hAnsi="Times New Roman"/>
          <w:color w:val="000000"/>
          <w:sz w:val="20"/>
        </w:rPr>
        <w:t>9</w:t>
      </w:r>
      <w:r>
        <w:rPr>
          <w:rFonts w:ascii="Times New Roman" w:hAnsi="Times New Roman"/>
          <w:color w:val="0000FF"/>
          <w:sz w:val="20"/>
          <w:u w:val="single"/>
        </w:rPr>
        <w:t>0</w:t>
      </w:r>
    </w:p>
    <w:p>
      <w:pPr>
        <w:pStyle w:val="TextBody"/>
        <w:bidi w:val="0"/>
        <w:jc w:val="both"/>
        <w:rPr>
          <w:rFonts w:ascii="Times New Roman" w:hAnsi="Times New Roman"/>
          <w:sz w:val="20"/>
        </w:rPr>
      </w:pPr>
      <w:r>
        <w:rPr>
          <w:rFonts w:ascii="Times New Roman" w:hAnsi="Times New Roman"/>
          <w:caps/>
          <w:color w:val="000000"/>
          <w:sz w:val="20"/>
        </w:rPr>
        <w:t>Section 5.15</w:t>
      </w:r>
      <w:r>
        <w:rPr>
          <w:rFonts w:ascii="Times New Roman" w:hAnsi="Times New Roman"/>
          <w:color w:val="000000"/>
          <w:sz w:val="20"/>
        </w:rPr>
        <w:t xml:space="preserve"> Negative Pledge </w:t>
      </w:r>
      <w:r>
        <w:rPr>
          <w:rFonts w:ascii="Times New Roman" w:hAnsi="Times New Roman"/>
          <w:strike/>
          <w:color w:val="FF0000"/>
          <w:sz w:val="20"/>
        </w:rPr>
        <w:t>8</w:t>
      </w:r>
      <w:r>
        <w:rPr>
          <w:rFonts w:ascii="Times New Roman" w:hAnsi="Times New Roman"/>
          <w:color w:val="000000"/>
          <w:sz w:val="20"/>
        </w:rPr>
        <w:t>9</w:t>
      </w:r>
      <w:r>
        <w:rPr>
          <w:rFonts w:ascii="Times New Roman" w:hAnsi="Times New Roman"/>
          <w:color w:val="0000FF"/>
          <w:sz w:val="20"/>
          <w:u w:val="single"/>
        </w:rPr>
        <w:t>0</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VI NEGATIVE COVENANTS 90</w:t>
      </w:r>
    </w:p>
    <w:p>
      <w:pPr>
        <w:pStyle w:val="TextBody"/>
        <w:bidi w:val="0"/>
        <w:jc w:val="both"/>
        <w:rPr>
          <w:rFonts w:ascii="Times New Roman" w:hAnsi="Times New Roman"/>
          <w:sz w:val="20"/>
        </w:rPr>
      </w:pPr>
      <w:r>
        <w:rPr>
          <w:rFonts w:ascii="Times New Roman" w:hAnsi="Times New Roman"/>
          <w:caps/>
          <w:color w:val="000000"/>
          <w:sz w:val="20"/>
        </w:rPr>
        <w:t>Section 6.01</w:t>
      </w:r>
      <w:r>
        <w:rPr>
          <w:rFonts w:ascii="Times New Roman" w:hAnsi="Times New Roman"/>
          <w:color w:val="000000"/>
          <w:sz w:val="20"/>
        </w:rPr>
        <w:t xml:space="preserve"> Indebtedness 90</w:t>
      </w:r>
    </w:p>
    <w:p>
      <w:pPr>
        <w:pStyle w:val="TextBody"/>
        <w:bidi w:val="0"/>
        <w:jc w:val="both"/>
        <w:rPr>
          <w:rFonts w:ascii="Times New Roman" w:hAnsi="Times New Roman"/>
          <w:sz w:val="20"/>
        </w:rPr>
      </w:pPr>
      <w:r>
        <w:rPr>
          <w:rFonts w:ascii="Times New Roman" w:hAnsi="Times New Roman"/>
          <w:caps/>
          <w:color w:val="000000"/>
          <w:sz w:val="20"/>
        </w:rPr>
        <w:t>Section 6.02</w:t>
      </w:r>
      <w:r>
        <w:rPr>
          <w:rFonts w:ascii="Times New Roman" w:hAnsi="Times New Roman"/>
          <w:color w:val="000000"/>
          <w:sz w:val="20"/>
        </w:rPr>
        <w:t xml:space="preserve"> Liens 94</w:t>
      </w:r>
    </w:p>
    <w:p>
      <w:pPr>
        <w:pStyle w:val="TextBody"/>
        <w:bidi w:val="0"/>
        <w:jc w:val="both"/>
        <w:rPr>
          <w:rFonts w:ascii="Times New Roman" w:hAnsi="Times New Roman"/>
          <w:sz w:val="20"/>
        </w:rPr>
      </w:pPr>
      <w:r>
        <w:rPr>
          <w:rFonts w:ascii="Times New Roman" w:hAnsi="Times New Roman"/>
          <w:caps/>
          <w:color w:val="000000"/>
          <w:sz w:val="20"/>
        </w:rPr>
        <w:t>Section 6.03</w:t>
      </w:r>
      <w:r>
        <w:rPr>
          <w:rFonts w:ascii="Times New Roman" w:hAnsi="Times New Roman"/>
          <w:color w:val="000000"/>
          <w:sz w:val="20"/>
        </w:rPr>
        <w:t xml:space="preserve"> Fundamental Changes 94</w:t>
      </w:r>
    </w:p>
    <w:p>
      <w:pPr>
        <w:pStyle w:val="TextBody"/>
        <w:bidi w:val="0"/>
        <w:jc w:val="both"/>
        <w:rPr>
          <w:rFonts w:ascii="Times New Roman" w:hAnsi="Times New Roman"/>
          <w:sz w:val="20"/>
        </w:rPr>
      </w:pPr>
      <w:r>
        <w:rPr>
          <w:rFonts w:ascii="Times New Roman" w:hAnsi="Times New Roman"/>
          <w:caps/>
          <w:color w:val="000000"/>
          <w:sz w:val="20"/>
        </w:rPr>
        <w:t>Section 6.04</w:t>
      </w:r>
      <w:r>
        <w:rPr>
          <w:rFonts w:ascii="Times New Roman" w:hAnsi="Times New Roman"/>
          <w:color w:val="000000"/>
          <w:sz w:val="20"/>
        </w:rPr>
        <w:t xml:space="preserve"> Investments, Loans, Advances, Guarantees and Acquisitions 95</w:t>
      </w:r>
    </w:p>
    <w:p>
      <w:pPr>
        <w:pStyle w:val="TextBody"/>
        <w:bidi w:val="0"/>
        <w:jc w:val="both"/>
        <w:rPr>
          <w:rFonts w:ascii="Times New Roman" w:hAnsi="Times New Roman"/>
          <w:sz w:val="20"/>
        </w:rPr>
      </w:pPr>
      <w:r>
        <w:rPr>
          <w:rFonts w:ascii="Times New Roman" w:hAnsi="Times New Roman"/>
          <w:caps/>
          <w:color w:val="000000"/>
          <w:sz w:val="20"/>
        </w:rPr>
        <w:t>Section 6.05</w:t>
      </w:r>
      <w:r>
        <w:rPr>
          <w:rFonts w:ascii="Times New Roman" w:hAnsi="Times New Roman"/>
          <w:color w:val="000000"/>
          <w:sz w:val="20"/>
        </w:rPr>
        <w:t xml:space="preserve"> Asset Sales 97</w:t>
      </w:r>
    </w:p>
    <w:p>
      <w:pPr>
        <w:pStyle w:val="TextBody"/>
        <w:bidi w:val="0"/>
        <w:jc w:val="both"/>
        <w:rPr>
          <w:rFonts w:ascii="Times New Roman" w:hAnsi="Times New Roman"/>
          <w:sz w:val="20"/>
        </w:rPr>
      </w:pPr>
      <w:r>
        <w:rPr>
          <w:rFonts w:ascii="Times New Roman" w:hAnsi="Times New Roman"/>
          <w:caps/>
          <w:color w:val="000000"/>
          <w:sz w:val="20"/>
        </w:rPr>
        <w:t>Section 6.06</w:t>
      </w:r>
      <w:r>
        <w:rPr>
          <w:rFonts w:ascii="Times New Roman" w:hAnsi="Times New Roman"/>
          <w:color w:val="000000"/>
          <w:sz w:val="20"/>
        </w:rPr>
        <w:t xml:space="preserve"> Swap Agreements 99</w:t>
      </w:r>
    </w:p>
    <w:p>
      <w:pPr>
        <w:pStyle w:val="TextBody"/>
        <w:bidi w:val="0"/>
        <w:jc w:val="both"/>
        <w:rPr>
          <w:rFonts w:ascii="Times New Roman" w:hAnsi="Times New Roman"/>
          <w:sz w:val="20"/>
        </w:rPr>
      </w:pPr>
      <w:r>
        <w:rPr>
          <w:rFonts w:ascii="Times New Roman" w:hAnsi="Times New Roman"/>
          <w:caps/>
          <w:color w:val="000000"/>
          <w:sz w:val="20"/>
        </w:rPr>
        <w:t>Section 6.07</w:t>
      </w:r>
      <w:r>
        <w:rPr>
          <w:rFonts w:ascii="Times New Roman" w:hAnsi="Times New Roman"/>
          <w:color w:val="000000"/>
          <w:sz w:val="20"/>
        </w:rPr>
        <w:t xml:space="preserve"> Restricted Payments; Certain Payments of Indebtedness 99</w:t>
      </w:r>
    </w:p>
    <w:p>
      <w:pPr>
        <w:pStyle w:val="TextBody"/>
        <w:bidi w:val="0"/>
        <w:jc w:val="both"/>
        <w:rPr>
          <w:rFonts w:ascii="Times New Roman" w:hAnsi="Times New Roman"/>
          <w:sz w:val="20"/>
        </w:rPr>
      </w:pPr>
      <w:r>
        <w:rPr>
          <w:rFonts w:ascii="Times New Roman" w:hAnsi="Times New Roman"/>
          <w:caps/>
          <w:color w:val="000000"/>
          <w:sz w:val="20"/>
        </w:rPr>
        <w:t>Section 6.08</w:t>
      </w:r>
      <w:r>
        <w:rPr>
          <w:rFonts w:ascii="Times New Roman" w:hAnsi="Times New Roman"/>
          <w:color w:val="000000"/>
          <w:sz w:val="20"/>
        </w:rPr>
        <w:t xml:space="preserve"> [Reserved 101</w:t>
      </w:r>
    </w:p>
    <w:p>
      <w:pPr>
        <w:pStyle w:val="TextBody"/>
        <w:bidi w:val="0"/>
        <w:jc w:val="both"/>
        <w:rPr>
          <w:rFonts w:ascii="Times New Roman" w:hAnsi="Times New Roman"/>
          <w:sz w:val="20"/>
        </w:rPr>
      </w:pPr>
      <w:r>
        <w:rPr>
          <w:rFonts w:ascii="Times New Roman" w:hAnsi="Times New Roman"/>
          <w:caps/>
          <w:color w:val="000000"/>
          <w:sz w:val="20"/>
        </w:rPr>
        <w:t>Section 6.09</w:t>
      </w:r>
      <w:r>
        <w:rPr>
          <w:rFonts w:ascii="Times New Roman" w:hAnsi="Times New Roman"/>
          <w:color w:val="000000"/>
          <w:sz w:val="20"/>
        </w:rPr>
        <w:t xml:space="preserve"> Restrictive Agreements 101</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jc w:val="both"/>
        <w:rPr>
          <w:rFonts w:ascii="Times New Roman" w:hAnsi="Times New Roman"/>
          <w:sz w:val="20"/>
        </w:rPr>
      </w:pPr>
      <w:r>
        <w:rPr>
          <w:rFonts w:ascii="Times New Roman" w:hAnsi="Times New Roman"/>
          <w:caps/>
          <w:color w:val="000000"/>
          <w:sz w:val="20"/>
        </w:rPr>
        <w:t>Section 6.10</w:t>
      </w:r>
      <w:r>
        <w:rPr>
          <w:rFonts w:ascii="Times New Roman" w:hAnsi="Times New Roman"/>
          <w:color w:val="000000"/>
          <w:sz w:val="20"/>
        </w:rPr>
        <w:t xml:space="preserve"> Financial Condition Covenants 102</w:t>
      </w:r>
    </w:p>
    <w:p>
      <w:pPr>
        <w:pStyle w:val="TextBody"/>
        <w:bidi w:val="0"/>
        <w:jc w:val="both"/>
        <w:rPr>
          <w:rFonts w:ascii="Times New Roman" w:hAnsi="Times New Roman"/>
          <w:sz w:val="20"/>
        </w:rPr>
      </w:pPr>
      <w:r>
        <w:rPr>
          <w:rFonts w:ascii="Times New Roman" w:hAnsi="Times New Roman"/>
          <w:caps/>
          <w:color w:val="000000"/>
          <w:sz w:val="20"/>
        </w:rPr>
        <w:t>Section 6.11</w:t>
      </w:r>
      <w:r>
        <w:rPr>
          <w:rFonts w:ascii="Times New Roman" w:hAnsi="Times New Roman"/>
          <w:color w:val="000000"/>
          <w:sz w:val="20"/>
        </w:rPr>
        <w:t xml:space="preserve"> Amendment of Material Documents 102</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VII EVENTS OF DEFAULT 103</w:t>
      </w:r>
    </w:p>
    <w:p>
      <w:pPr>
        <w:pStyle w:val="TextBody"/>
        <w:bidi w:val="0"/>
        <w:jc w:val="both"/>
        <w:rPr>
          <w:rFonts w:ascii="Times New Roman" w:hAnsi="Times New Roman"/>
          <w:sz w:val="20"/>
        </w:rPr>
      </w:pPr>
      <w:r>
        <w:rPr>
          <w:rFonts w:ascii="Times New Roman" w:hAnsi="Times New Roman"/>
          <w:caps/>
          <w:color w:val="000000"/>
          <w:sz w:val="20"/>
        </w:rPr>
        <w:t>Section 7.01</w:t>
      </w:r>
      <w:r>
        <w:rPr>
          <w:rFonts w:ascii="Times New Roman" w:hAnsi="Times New Roman"/>
          <w:color w:val="000000"/>
          <w:sz w:val="20"/>
        </w:rPr>
        <w:t xml:space="preserve"> Events of Default 103</w:t>
      </w:r>
    </w:p>
    <w:p>
      <w:pPr>
        <w:pStyle w:val="TextBody"/>
        <w:bidi w:val="0"/>
        <w:jc w:val="both"/>
        <w:rPr>
          <w:rFonts w:ascii="Times New Roman" w:hAnsi="Times New Roman"/>
          <w:sz w:val="20"/>
        </w:rPr>
      </w:pPr>
      <w:r>
        <w:rPr>
          <w:rFonts w:ascii="Times New Roman" w:hAnsi="Times New Roman"/>
          <w:caps/>
          <w:color w:val="000000"/>
          <w:sz w:val="20"/>
        </w:rPr>
        <w:t>Section 7.02</w:t>
      </w:r>
      <w:r>
        <w:rPr>
          <w:rFonts w:ascii="Times New Roman" w:hAnsi="Times New Roman"/>
          <w:color w:val="000000"/>
          <w:sz w:val="20"/>
        </w:rPr>
        <w:t xml:space="preserve"> Right to Cure 106</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VIII THE ADMINISTRATIVE AGENT 107</w:t>
      </w:r>
    </w:p>
    <w:p>
      <w:pPr>
        <w:pStyle w:val="TextBody"/>
        <w:bidi w:val="0"/>
        <w:jc w:val="both"/>
        <w:rPr>
          <w:rFonts w:ascii="Times New Roman" w:hAnsi="Times New Roman"/>
          <w:sz w:val="20"/>
        </w:rPr>
      </w:pPr>
      <w:r>
        <w:rPr>
          <w:rFonts w:ascii="Times New Roman" w:hAnsi="Times New Roman"/>
          <w:caps/>
          <w:color w:val="000000"/>
          <w:sz w:val="20"/>
        </w:rPr>
        <w:t>Section 8.01</w:t>
      </w:r>
      <w:r>
        <w:rPr>
          <w:rFonts w:ascii="Times New Roman" w:hAnsi="Times New Roman"/>
          <w:color w:val="000000"/>
          <w:sz w:val="20"/>
        </w:rPr>
        <w:t xml:space="preserve"> Authorization and Action 107</w:t>
      </w:r>
    </w:p>
    <w:p>
      <w:pPr>
        <w:pStyle w:val="TextBody"/>
        <w:bidi w:val="0"/>
        <w:jc w:val="both"/>
        <w:rPr>
          <w:rFonts w:ascii="Times New Roman" w:hAnsi="Times New Roman"/>
          <w:sz w:val="20"/>
        </w:rPr>
      </w:pPr>
      <w:r>
        <w:rPr>
          <w:rFonts w:ascii="Times New Roman" w:hAnsi="Times New Roman"/>
          <w:caps/>
          <w:color w:val="000000"/>
          <w:sz w:val="20"/>
        </w:rPr>
        <w:t>Section 8.02</w:t>
      </w:r>
      <w:r>
        <w:rPr>
          <w:rFonts w:ascii="Times New Roman" w:hAnsi="Times New Roman"/>
          <w:color w:val="000000"/>
          <w:sz w:val="20"/>
        </w:rPr>
        <w:t xml:space="preserve"> Administrative Agent’s Reliance, Indemnification, Etc 109</w:t>
      </w:r>
    </w:p>
    <w:p>
      <w:pPr>
        <w:pStyle w:val="TextBody"/>
        <w:bidi w:val="0"/>
        <w:jc w:val="both"/>
        <w:rPr>
          <w:rFonts w:ascii="Times New Roman" w:hAnsi="Times New Roman"/>
          <w:sz w:val="20"/>
        </w:rPr>
      </w:pPr>
      <w:r>
        <w:rPr>
          <w:rFonts w:ascii="Times New Roman" w:hAnsi="Times New Roman"/>
          <w:caps/>
          <w:color w:val="000000"/>
          <w:sz w:val="20"/>
        </w:rPr>
        <w:t>Section 8.03</w:t>
      </w:r>
      <w:r>
        <w:rPr>
          <w:rFonts w:ascii="Times New Roman" w:hAnsi="Times New Roman"/>
          <w:color w:val="000000"/>
          <w:sz w:val="20"/>
        </w:rPr>
        <w:t xml:space="preserve"> Posting of Communications 110</w:t>
      </w:r>
    </w:p>
    <w:p>
      <w:pPr>
        <w:pStyle w:val="TextBody"/>
        <w:bidi w:val="0"/>
        <w:jc w:val="both"/>
        <w:rPr>
          <w:rFonts w:ascii="Times New Roman" w:hAnsi="Times New Roman"/>
          <w:sz w:val="20"/>
        </w:rPr>
      </w:pPr>
      <w:r>
        <w:rPr>
          <w:rFonts w:ascii="Times New Roman" w:hAnsi="Times New Roman"/>
          <w:caps/>
          <w:color w:val="000000"/>
          <w:sz w:val="20"/>
        </w:rPr>
        <w:t>Section 8.04</w:t>
      </w:r>
      <w:r>
        <w:rPr>
          <w:rFonts w:ascii="Times New Roman" w:hAnsi="Times New Roman"/>
          <w:color w:val="000000"/>
          <w:sz w:val="20"/>
        </w:rPr>
        <w:t xml:space="preserve"> The Administrative Agent Individually 111</w:t>
      </w:r>
    </w:p>
    <w:p>
      <w:pPr>
        <w:pStyle w:val="TextBody"/>
        <w:bidi w:val="0"/>
        <w:jc w:val="both"/>
        <w:rPr>
          <w:rFonts w:ascii="Times New Roman" w:hAnsi="Times New Roman"/>
          <w:sz w:val="20"/>
        </w:rPr>
      </w:pPr>
      <w:r>
        <w:rPr>
          <w:rFonts w:ascii="Times New Roman" w:hAnsi="Times New Roman"/>
          <w:caps/>
          <w:color w:val="000000"/>
          <w:sz w:val="20"/>
        </w:rPr>
        <w:t>Section 8.05</w:t>
      </w:r>
      <w:r>
        <w:rPr>
          <w:rFonts w:ascii="Times New Roman" w:hAnsi="Times New Roman"/>
          <w:color w:val="000000"/>
          <w:sz w:val="20"/>
        </w:rPr>
        <w:t xml:space="preserve"> Successor Administrative Agent 111</w:t>
      </w:r>
    </w:p>
    <w:p>
      <w:pPr>
        <w:pStyle w:val="TextBody"/>
        <w:bidi w:val="0"/>
        <w:jc w:val="both"/>
        <w:rPr>
          <w:rFonts w:ascii="Times New Roman" w:hAnsi="Times New Roman"/>
          <w:sz w:val="20"/>
        </w:rPr>
      </w:pPr>
      <w:r>
        <w:rPr>
          <w:rFonts w:ascii="Times New Roman" w:hAnsi="Times New Roman"/>
          <w:caps/>
          <w:color w:val="000000"/>
          <w:sz w:val="20"/>
        </w:rPr>
        <w:t>Section 8.06</w:t>
      </w:r>
      <w:r>
        <w:rPr>
          <w:rFonts w:ascii="Times New Roman" w:hAnsi="Times New Roman"/>
          <w:color w:val="000000"/>
          <w:sz w:val="20"/>
        </w:rPr>
        <w:t xml:space="preserve"> Acknowledgements of Lenders and Issuing Banks 112</w:t>
      </w:r>
    </w:p>
    <w:p>
      <w:pPr>
        <w:pStyle w:val="TextBody"/>
        <w:bidi w:val="0"/>
        <w:jc w:val="both"/>
        <w:rPr>
          <w:rFonts w:ascii="Times New Roman" w:hAnsi="Times New Roman"/>
          <w:sz w:val="20"/>
        </w:rPr>
      </w:pPr>
      <w:r>
        <w:rPr>
          <w:rFonts w:ascii="Times New Roman" w:hAnsi="Times New Roman"/>
          <w:caps/>
          <w:color w:val="000000"/>
          <w:sz w:val="20"/>
        </w:rPr>
        <w:t>Section 8.07</w:t>
      </w:r>
      <w:r>
        <w:rPr>
          <w:rFonts w:ascii="Times New Roman" w:hAnsi="Times New Roman"/>
          <w:color w:val="000000"/>
          <w:sz w:val="20"/>
        </w:rPr>
        <w:t xml:space="preserve"> Collateral Matters 114</w:t>
      </w:r>
    </w:p>
    <w:p>
      <w:pPr>
        <w:pStyle w:val="TextBody"/>
        <w:bidi w:val="0"/>
        <w:jc w:val="both"/>
        <w:rPr>
          <w:rFonts w:ascii="Times New Roman" w:hAnsi="Times New Roman"/>
          <w:sz w:val="20"/>
        </w:rPr>
      </w:pPr>
      <w:r>
        <w:rPr>
          <w:rFonts w:ascii="Times New Roman" w:hAnsi="Times New Roman"/>
          <w:caps/>
          <w:color w:val="000000"/>
          <w:sz w:val="20"/>
        </w:rPr>
        <w:t>Section 8.08</w:t>
      </w:r>
      <w:r>
        <w:rPr>
          <w:rFonts w:ascii="Times New Roman" w:hAnsi="Times New Roman"/>
          <w:color w:val="000000"/>
          <w:sz w:val="20"/>
        </w:rPr>
        <w:t xml:space="preserve"> Credit Bidding 115</w:t>
      </w:r>
    </w:p>
    <w:p>
      <w:pPr>
        <w:pStyle w:val="TextBody"/>
        <w:bidi w:val="0"/>
        <w:jc w:val="both"/>
        <w:rPr>
          <w:rFonts w:ascii="Times New Roman" w:hAnsi="Times New Roman"/>
          <w:sz w:val="20"/>
        </w:rPr>
      </w:pPr>
      <w:r>
        <w:rPr>
          <w:rFonts w:ascii="Times New Roman" w:hAnsi="Times New Roman"/>
          <w:caps/>
          <w:color w:val="000000"/>
          <w:sz w:val="20"/>
        </w:rPr>
        <w:t>Section 8.09</w:t>
      </w:r>
      <w:r>
        <w:rPr>
          <w:rFonts w:ascii="Times New Roman" w:hAnsi="Times New Roman"/>
          <w:color w:val="000000"/>
          <w:sz w:val="20"/>
        </w:rPr>
        <w:t xml:space="preserve"> Certain ERISA Matters 11</w:t>
      </w:r>
      <w:r>
        <w:rPr>
          <w:rFonts w:ascii="Times New Roman" w:hAnsi="Times New Roman"/>
          <w:strike/>
          <w:color w:val="FF0000"/>
          <w:sz w:val="20"/>
        </w:rPr>
        <w:t>6</w:t>
      </w:r>
      <w:r>
        <w:rPr>
          <w:rFonts w:ascii="Times New Roman" w:hAnsi="Times New Roman"/>
          <w:color w:val="0000FF"/>
          <w:sz w:val="20"/>
          <w:u w:val="single"/>
        </w:rPr>
        <w:t>5</w:t>
      </w:r>
    </w:p>
    <w:p>
      <w:pPr>
        <w:pStyle w:val="TextBody"/>
        <w:bidi w:val="0"/>
        <w:jc w:val="both"/>
        <w:rPr>
          <w:rFonts w:ascii="Times New Roman" w:hAnsi="Times New Roman"/>
          <w:sz w:val="20"/>
        </w:rPr>
      </w:pPr>
      <w:r>
        <w:rPr>
          <w:rFonts w:ascii="Times New Roman" w:hAnsi="Times New Roman"/>
          <w:caps/>
          <w:color w:val="000000"/>
          <w:sz w:val="20"/>
        </w:rPr>
        <w:t>Section 8.10</w:t>
      </w:r>
      <w:r>
        <w:rPr>
          <w:rFonts w:ascii="Times New Roman" w:hAnsi="Times New Roman"/>
          <w:color w:val="000000"/>
          <w:sz w:val="20"/>
        </w:rPr>
        <w:t xml:space="preserve"> Subordination and Intercreditor Agreements 117</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IX MISCELLANEOUS 117</w:t>
      </w:r>
    </w:p>
    <w:p>
      <w:pPr>
        <w:pStyle w:val="TextBody"/>
        <w:bidi w:val="0"/>
        <w:jc w:val="both"/>
        <w:rPr>
          <w:rFonts w:ascii="Times New Roman" w:hAnsi="Times New Roman"/>
          <w:sz w:val="20"/>
        </w:rPr>
      </w:pPr>
      <w:r>
        <w:rPr>
          <w:rFonts w:ascii="Times New Roman" w:hAnsi="Times New Roman"/>
          <w:caps/>
          <w:color w:val="000000"/>
          <w:sz w:val="20"/>
        </w:rPr>
        <w:t>Section 9.01</w:t>
      </w:r>
      <w:r>
        <w:rPr>
          <w:rFonts w:ascii="Times New Roman" w:hAnsi="Times New Roman"/>
          <w:color w:val="000000"/>
          <w:sz w:val="20"/>
        </w:rPr>
        <w:t xml:space="preserve"> Notices 117</w:t>
      </w:r>
    </w:p>
    <w:p>
      <w:pPr>
        <w:pStyle w:val="TextBody"/>
        <w:bidi w:val="0"/>
        <w:jc w:val="both"/>
        <w:rPr>
          <w:rFonts w:ascii="Times New Roman" w:hAnsi="Times New Roman"/>
          <w:sz w:val="20"/>
        </w:rPr>
      </w:pPr>
      <w:r>
        <w:rPr>
          <w:rFonts w:ascii="Times New Roman" w:hAnsi="Times New Roman"/>
          <w:caps/>
          <w:color w:val="000000"/>
          <w:sz w:val="20"/>
        </w:rPr>
        <w:t>Section 9.02</w:t>
      </w:r>
      <w:r>
        <w:rPr>
          <w:rFonts w:ascii="Times New Roman" w:hAnsi="Times New Roman"/>
          <w:color w:val="000000"/>
          <w:sz w:val="20"/>
        </w:rPr>
        <w:t xml:space="preserve"> Waivers; Amendments 118</w:t>
      </w:r>
    </w:p>
    <w:p>
      <w:pPr>
        <w:pStyle w:val="TextBody"/>
        <w:bidi w:val="0"/>
        <w:jc w:val="both"/>
        <w:rPr>
          <w:rFonts w:ascii="Times New Roman" w:hAnsi="Times New Roman"/>
          <w:sz w:val="20"/>
        </w:rPr>
      </w:pPr>
      <w:r>
        <w:rPr>
          <w:rFonts w:ascii="Times New Roman" w:hAnsi="Times New Roman"/>
          <w:caps/>
          <w:color w:val="000000"/>
          <w:sz w:val="20"/>
        </w:rPr>
        <w:t>Section 9.03</w:t>
      </w:r>
      <w:r>
        <w:rPr>
          <w:rFonts w:ascii="Times New Roman" w:hAnsi="Times New Roman"/>
          <w:color w:val="000000"/>
          <w:sz w:val="20"/>
        </w:rPr>
        <w:t xml:space="preserve"> Expenses; Limitation of Liability; Indemnity; Damage Waiver 122</w:t>
      </w:r>
    </w:p>
    <w:p>
      <w:pPr>
        <w:pStyle w:val="TextBody"/>
        <w:bidi w:val="0"/>
        <w:jc w:val="both"/>
        <w:rPr>
          <w:rFonts w:ascii="Times New Roman" w:hAnsi="Times New Roman"/>
          <w:sz w:val="20"/>
        </w:rPr>
      </w:pPr>
      <w:r>
        <w:rPr>
          <w:rFonts w:ascii="Times New Roman" w:hAnsi="Times New Roman"/>
          <w:caps/>
          <w:color w:val="000000"/>
          <w:sz w:val="20"/>
        </w:rPr>
        <w:t>Section 9.04</w:t>
      </w:r>
      <w:r>
        <w:rPr>
          <w:rFonts w:ascii="Times New Roman" w:hAnsi="Times New Roman"/>
          <w:color w:val="000000"/>
          <w:sz w:val="20"/>
        </w:rPr>
        <w:t xml:space="preserve"> Successors and Assigns 123</w:t>
      </w:r>
    </w:p>
    <w:p>
      <w:pPr>
        <w:pStyle w:val="TextBody"/>
        <w:bidi w:val="0"/>
        <w:jc w:val="both"/>
        <w:rPr>
          <w:rFonts w:ascii="Times New Roman" w:hAnsi="Times New Roman"/>
          <w:sz w:val="20"/>
        </w:rPr>
      </w:pPr>
      <w:r>
        <w:rPr>
          <w:rFonts w:ascii="Times New Roman" w:hAnsi="Times New Roman"/>
          <w:caps/>
          <w:color w:val="000000"/>
          <w:sz w:val="20"/>
        </w:rPr>
        <w:t>Section 9.05</w:t>
      </w:r>
      <w:r>
        <w:rPr>
          <w:rFonts w:ascii="Times New Roman" w:hAnsi="Times New Roman"/>
          <w:color w:val="000000"/>
          <w:sz w:val="20"/>
        </w:rPr>
        <w:t xml:space="preserve"> Survival 126</w:t>
      </w:r>
    </w:p>
    <w:p>
      <w:pPr>
        <w:pStyle w:val="TextBody"/>
        <w:bidi w:val="0"/>
        <w:jc w:val="both"/>
        <w:rPr>
          <w:rFonts w:ascii="Times New Roman" w:hAnsi="Times New Roman"/>
          <w:sz w:val="20"/>
        </w:rPr>
      </w:pPr>
      <w:r>
        <w:rPr>
          <w:rFonts w:ascii="Times New Roman" w:hAnsi="Times New Roman"/>
          <w:caps/>
          <w:color w:val="000000"/>
          <w:sz w:val="20"/>
        </w:rPr>
        <w:t>Section 9.06</w:t>
      </w:r>
      <w:r>
        <w:rPr>
          <w:rFonts w:ascii="Times New Roman" w:hAnsi="Times New Roman"/>
          <w:color w:val="000000"/>
          <w:sz w:val="20"/>
        </w:rPr>
        <w:t xml:space="preserve"> Counterparts; Integration; Effectiveness; Electronic Execution 127</w:t>
      </w:r>
    </w:p>
    <w:p>
      <w:pPr>
        <w:pStyle w:val="TextBody"/>
        <w:bidi w:val="0"/>
        <w:jc w:val="both"/>
        <w:rPr>
          <w:rFonts w:ascii="Times New Roman" w:hAnsi="Times New Roman"/>
          <w:sz w:val="20"/>
        </w:rPr>
      </w:pPr>
      <w:r>
        <w:rPr>
          <w:rFonts w:ascii="Times New Roman" w:hAnsi="Times New Roman"/>
          <w:caps/>
          <w:color w:val="000000"/>
          <w:sz w:val="20"/>
        </w:rPr>
        <w:t>Section 9.07</w:t>
      </w:r>
      <w:r>
        <w:rPr>
          <w:rFonts w:ascii="Times New Roman" w:hAnsi="Times New Roman"/>
          <w:color w:val="000000"/>
          <w:sz w:val="20"/>
        </w:rPr>
        <w:t xml:space="preserve"> Severability 128</w:t>
      </w:r>
    </w:p>
    <w:p>
      <w:pPr>
        <w:pStyle w:val="TextBody"/>
        <w:bidi w:val="0"/>
        <w:jc w:val="both"/>
        <w:rPr>
          <w:rFonts w:ascii="Times New Roman" w:hAnsi="Times New Roman"/>
          <w:sz w:val="20"/>
        </w:rPr>
      </w:pPr>
      <w:r>
        <w:rPr>
          <w:rFonts w:ascii="Times New Roman" w:hAnsi="Times New Roman"/>
          <w:caps/>
          <w:color w:val="000000"/>
          <w:sz w:val="20"/>
        </w:rPr>
        <w:t>Section 9.08</w:t>
      </w:r>
      <w:r>
        <w:rPr>
          <w:rFonts w:ascii="Times New Roman" w:hAnsi="Times New Roman"/>
          <w:color w:val="000000"/>
          <w:sz w:val="20"/>
        </w:rPr>
        <w:t xml:space="preserve"> Right of Setoff 128</w:t>
      </w:r>
    </w:p>
    <w:p>
      <w:pPr>
        <w:pStyle w:val="TextBody"/>
        <w:bidi w:val="0"/>
        <w:jc w:val="both"/>
        <w:rPr>
          <w:rFonts w:ascii="Times New Roman" w:hAnsi="Times New Roman"/>
          <w:sz w:val="20"/>
        </w:rPr>
      </w:pPr>
      <w:r>
        <w:rPr>
          <w:rFonts w:ascii="Times New Roman" w:hAnsi="Times New Roman"/>
          <w:caps/>
          <w:color w:val="000000"/>
          <w:sz w:val="20"/>
        </w:rPr>
        <w:t>Section 9.09</w:t>
      </w:r>
      <w:r>
        <w:rPr>
          <w:rFonts w:ascii="Times New Roman" w:hAnsi="Times New Roman"/>
          <w:color w:val="000000"/>
          <w:sz w:val="20"/>
        </w:rPr>
        <w:t xml:space="preserve"> Governing Law; Jurisdiction; Consent to Service of Process 128</w:t>
      </w:r>
    </w:p>
    <w:p>
      <w:pPr>
        <w:pStyle w:val="TextBody"/>
        <w:bidi w:val="0"/>
        <w:jc w:val="both"/>
        <w:rPr>
          <w:rFonts w:ascii="Times New Roman" w:hAnsi="Times New Roman"/>
          <w:sz w:val="20"/>
        </w:rPr>
      </w:pPr>
      <w:r>
        <w:rPr>
          <w:rFonts w:ascii="Times New Roman" w:hAnsi="Times New Roman"/>
          <w:caps/>
          <w:color w:val="000000"/>
          <w:sz w:val="20"/>
        </w:rPr>
        <w:t>Section 9.10</w:t>
      </w:r>
      <w:r>
        <w:rPr>
          <w:rFonts w:ascii="Times New Roman" w:hAnsi="Times New Roman"/>
          <w:color w:val="000000"/>
          <w:sz w:val="20"/>
        </w:rPr>
        <w:t xml:space="preserve"> WAIVER OF JURY TRIAL 129</w:t>
      </w:r>
    </w:p>
    <w:p>
      <w:pPr>
        <w:pStyle w:val="TextBody"/>
        <w:bidi w:val="0"/>
        <w:jc w:val="both"/>
        <w:rPr>
          <w:rFonts w:ascii="Times New Roman" w:hAnsi="Times New Roman"/>
          <w:sz w:val="20"/>
        </w:rPr>
      </w:pPr>
      <w:r>
        <w:rPr>
          <w:rFonts w:ascii="Times New Roman" w:hAnsi="Times New Roman"/>
          <w:caps/>
          <w:color w:val="000000"/>
          <w:sz w:val="20"/>
        </w:rPr>
        <w:t>Section 9.11</w:t>
      </w:r>
      <w:r>
        <w:rPr>
          <w:rFonts w:ascii="Times New Roman" w:hAnsi="Times New Roman"/>
          <w:color w:val="000000"/>
          <w:sz w:val="20"/>
        </w:rPr>
        <w:t xml:space="preserve"> Headings 129</w:t>
      </w:r>
    </w:p>
    <w:p>
      <w:pPr>
        <w:pStyle w:val="TextBody"/>
        <w:bidi w:val="0"/>
        <w:jc w:val="both"/>
        <w:rPr>
          <w:rFonts w:ascii="Times New Roman" w:hAnsi="Times New Roman"/>
          <w:sz w:val="20"/>
        </w:rPr>
      </w:pPr>
      <w:r>
        <w:rPr>
          <w:rFonts w:ascii="Times New Roman" w:hAnsi="Times New Roman"/>
          <w:caps/>
          <w:color w:val="000000"/>
          <w:sz w:val="20"/>
        </w:rPr>
        <w:t>Section 9.12</w:t>
      </w:r>
      <w:r>
        <w:rPr>
          <w:rFonts w:ascii="Times New Roman" w:hAnsi="Times New Roman"/>
          <w:color w:val="000000"/>
          <w:sz w:val="20"/>
        </w:rPr>
        <w:t xml:space="preserve"> Confidentiality 1</w:t>
      </w:r>
      <w:r>
        <w:rPr>
          <w:rFonts w:ascii="Times New Roman" w:hAnsi="Times New Roman"/>
          <w:strike/>
          <w:color w:val="FF0000"/>
          <w:sz w:val="20"/>
        </w:rPr>
        <w:t>30</w:t>
      </w:r>
      <w:r>
        <w:rPr>
          <w:rFonts w:ascii="Times New Roman" w:hAnsi="Times New Roman"/>
          <w:color w:val="0000FF"/>
          <w:sz w:val="20"/>
          <w:u w:val="single"/>
        </w:rPr>
        <w:t>29</w:t>
      </w:r>
    </w:p>
    <w:p>
      <w:pPr>
        <w:pStyle w:val="TextBody"/>
        <w:bidi w:val="0"/>
        <w:jc w:val="both"/>
        <w:rPr>
          <w:rFonts w:ascii="Times New Roman" w:hAnsi="Times New Roman"/>
          <w:sz w:val="20"/>
        </w:rPr>
      </w:pPr>
      <w:r>
        <w:rPr>
          <w:rFonts w:ascii="Times New Roman" w:hAnsi="Times New Roman"/>
          <w:caps/>
          <w:color w:val="000000"/>
          <w:sz w:val="20"/>
        </w:rPr>
        <w:t>Section 9.13</w:t>
      </w:r>
      <w:r>
        <w:rPr>
          <w:rFonts w:ascii="Times New Roman" w:hAnsi="Times New Roman"/>
          <w:color w:val="000000"/>
          <w:sz w:val="20"/>
        </w:rPr>
        <w:t xml:space="preserve"> Several Obligations; Nonreliance; Violation of Law 130</w:t>
      </w:r>
    </w:p>
    <w:p>
      <w:pPr>
        <w:pStyle w:val="TextBody"/>
        <w:bidi w:val="0"/>
        <w:jc w:val="both"/>
        <w:rPr>
          <w:rFonts w:ascii="Times New Roman" w:hAnsi="Times New Roman"/>
          <w:sz w:val="20"/>
        </w:rPr>
      </w:pPr>
      <w:r>
        <w:rPr>
          <w:rFonts w:ascii="Times New Roman" w:hAnsi="Times New Roman"/>
          <w:caps/>
          <w:color w:val="000000"/>
          <w:sz w:val="20"/>
        </w:rPr>
        <w:t>Section 9.14</w:t>
      </w:r>
      <w:r>
        <w:rPr>
          <w:rFonts w:ascii="Times New Roman" w:hAnsi="Times New Roman"/>
          <w:color w:val="000000"/>
          <w:sz w:val="20"/>
        </w:rPr>
        <w:t xml:space="preserve"> USA PATRIOT Act and Beneficial Ownership 130</w:t>
      </w:r>
    </w:p>
    <w:p>
      <w:pPr>
        <w:pStyle w:val="TextBody"/>
        <w:bidi w:val="0"/>
        <w:jc w:val="both"/>
        <w:rPr>
          <w:rFonts w:ascii="Times New Roman" w:hAnsi="Times New Roman"/>
          <w:sz w:val="20"/>
        </w:rPr>
      </w:pPr>
      <w:r>
        <w:rPr>
          <w:rFonts w:ascii="Times New Roman" w:hAnsi="Times New Roman"/>
          <w:caps/>
          <w:color w:val="000000"/>
          <w:sz w:val="20"/>
        </w:rPr>
        <w:t>Section 9.15</w:t>
      </w:r>
      <w:r>
        <w:rPr>
          <w:rFonts w:ascii="Times New Roman" w:hAnsi="Times New Roman"/>
          <w:color w:val="000000"/>
          <w:sz w:val="20"/>
        </w:rPr>
        <w:t xml:space="preserve"> Disclosure 13</w:t>
      </w:r>
      <w:r>
        <w:rPr>
          <w:rFonts w:ascii="Times New Roman" w:hAnsi="Times New Roman"/>
          <w:strike/>
          <w:color w:val="FF0000"/>
          <w:sz w:val="20"/>
        </w:rPr>
        <w:t>1</w:t>
      </w:r>
      <w:r>
        <w:rPr>
          <w:rFonts w:ascii="Times New Roman" w:hAnsi="Times New Roman"/>
          <w:color w:val="0000FF"/>
          <w:sz w:val="20"/>
          <w:u w:val="single"/>
        </w:rPr>
        <w:t>0</w:t>
      </w:r>
    </w:p>
    <w:p>
      <w:pPr>
        <w:pStyle w:val="TextBody"/>
        <w:bidi w:val="0"/>
        <w:jc w:val="both"/>
        <w:rPr>
          <w:rFonts w:ascii="Times New Roman" w:hAnsi="Times New Roman"/>
          <w:sz w:val="20"/>
        </w:rPr>
      </w:pPr>
      <w:r>
        <w:rPr>
          <w:rFonts w:ascii="Times New Roman" w:hAnsi="Times New Roman"/>
          <w:caps/>
          <w:color w:val="000000"/>
          <w:sz w:val="20"/>
        </w:rPr>
        <w:t>Section 9.16</w:t>
      </w:r>
      <w:r>
        <w:rPr>
          <w:rFonts w:ascii="Times New Roman" w:hAnsi="Times New Roman"/>
          <w:color w:val="000000"/>
          <w:sz w:val="20"/>
        </w:rPr>
        <w:t xml:space="preserve"> Appointment for Perfection 13</w:t>
      </w:r>
      <w:r>
        <w:rPr>
          <w:rFonts w:ascii="Times New Roman" w:hAnsi="Times New Roman"/>
          <w:strike/>
          <w:color w:val="FF0000"/>
          <w:sz w:val="20"/>
        </w:rPr>
        <w:t>1</w:t>
      </w:r>
      <w:r>
        <w:rPr>
          <w:rFonts w:ascii="Times New Roman" w:hAnsi="Times New Roman"/>
          <w:color w:val="0000FF"/>
          <w:sz w:val="20"/>
          <w:u w:val="single"/>
        </w:rPr>
        <w:t>0</w:t>
      </w:r>
    </w:p>
    <w:p>
      <w:pPr>
        <w:pStyle w:val="TextBody"/>
        <w:bidi w:val="0"/>
        <w:jc w:val="both"/>
        <w:rPr>
          <w:rFonts w:ascii="Times New Roman" w:hAnsi="Times New Roman"/>
          <w:sz w:val="20"/>
        </w:rPr>
      </w:pPr>
      <w:r>
        <w:rPr>
          <w:rFonts w:ascii="Times New Roman" w:hAnsi="Times New Roman"/>
          <w:caps/>
          <w:color w:val="000000"/>
          <w:sz w:val="20"/>
        </w:rPr>
        <w:t>Section 9.17</w:t>
      </w:r>
      <w:r>
        <w:rPr>
          <w:rFonts w:ascii="Times New Roman" w:hAnsi="Times New Roman"/>
          <w:color w:val="000000"/>
          <w:sz w:val="20"/>
        </w:rPr>
        <w:t xml:space="preserve"> Interest Rate Limitation 131</w:t>
      </w:r>
    </w:p>
    <w:p>
      <w:pPr>
        <w:pStyle w:val="TextBody"/>
        <w:bidi w:val="0"/>
        <w:jc w:val="both"/>
        <w:rPr>
          <w:rFonts w:ascii="Times New Roman" w:hAnsi="Times New Roman"/>
          <w:sz w:val="20"/>
        </w:rPr>
      </w:pPr>
      <w:r>
        <w:rPr>
          <w:rFonts w:ascii="Times New Roman" w:hAnsi="Times New Roman"/>
          <w:caps/>
          <w:color w:val="000000"/>
          <w:sz w:val="20"/>
        </w:rPr>
        <w:t>Section 9.18</w:t>
      </w:r>
      <w:r>
        <w:rPr>
          <w:rFonts w:ascii="Times New Roman" w:hAnsi="Times New Roman"/>
          <w:color w:val="000000"/>
          <w:sz w:val="20"/>
        </w:rPr>
        <w:t xml:space="preserve"> No Fiduciary Duty, Etc 131</w:t>
      </w:r>
    </w:p>
    <w:p>
      <w:pPr>
        <w:pStyle w:val="TextBody"/>
        <w:bidi w:val="0"/>
        <w:jc w:val="both"/>
        <w:rPr>
          <w:rFonts w:ascii="Times New Roman" w:hAnsi="Times New Roman"/>
          <w:sz w:val="20"/>
        </w:rPr>
      </w:pPr>
      <w:r>
        <w:rPr>
          <w:rFonts w:ascii="Times New Roman" w:hAnsi="Times New Roman"/>
          <w:caps/>
          <w:color w:val="000000"/>
          <w:sz w:val="20"/>
        </w:rPr>
        <w:t>Section 9.19</w:t>
      </w:r>
      <w:r>
        <w:rPr>
          <w:rFonts w:ascii="Times New Roman" w:hAnsi="Times New Roman"/>
          <w:color w:val="000000"/>
          <w:sz w:val="20"/>
        </w:rPr>
        <w:t xml:space="preserve"> Net Short Lenders 132</w:t>
      </w:r>
    </w:p>
    <w:p>
      <w:pPr>
        <w:pStyle w:val="TextBody"/>
        <w:bidi w:val="0"/>
        <w:jc w:val="both"/>
        <w:rPr>
          <w:rFonts w:ascii="Times New Roman" w:hAnsi="Times New Roman"/>
          <w:sz w:val="20"/>
        </w:rPr>
      </w:pPr>
      <w:r>
        <w:rPr>
          <w:rFonts w:ascii="Times New Roman" w:hAnsi="Times New Roman"/>
          <w:caps/>
          <w:color w:val="000000"/>
          <w:sz w:val="20"/>
        </w:rPr>
        <w:t>Section 9.20</w:t>
      </w:r>
      <w:r>
        <w:rPr>
          <w:rFonts w:ascii="Times New Roman" w:hAnsi="Times New Roman"/>
          <w:color w:val="000000"/>
          <w:sz w:val="20"/>
        </w:rPr>
        <w:t xml:space="preserve"> Acknowledgement and Consent to Bail-In of Affected Financial Institutions 132</w:t>
      </w:r>
    </w:p>
    <w:p>
      <w:pPr>
        <w:pStyle w:val="TextBody"/>
        <w:bidi w:val="0"/>
        <w:jc w:val="both"/>
        <w:rPr>
          <w:rFonts w:ascii="Times New Roman" w:hAnsi="Times New Roman"/>
          <w:sz w:val="20"/>
        </w:rPr>
      </w:pPr>
      <w:r>
        <w:rPr>
          <w:rFonts w:ascii="Times New Roman" w:hAnsi="Times New Roman"/>
          <w:caps/>
          <w:color w:val="000000"/>
          <w:sz w:val="20"/>
        </w:rPr>
        <w:t>Section 9.21</w:t>
      </w:r>
      <w:r>
        <w:rPr>
          <w:rFonts w:ascii="Times New Roman" w:hAnsi="Times New Roman"/>
          <w:color w:val="000000"/>
          <w:sz w:val="20"/>
        </w:rPr>
        <w:t xml:space="preserve"> Acknowledgement Regarding Any Supported QFCs 132</w:t>
      </w:r>
    </w:p>
    <w:p>
      <w:pPr>
        <w:pStyle w:val="TextBody"/>
        <w:bidi w:val="0"/>
        <w:spacing w:before="240" w:after="240"/>
        <w:jc w:val="center"/>
        <w:rPr>
          <w:rFonts w:ascii="Times New Roman" w:hAnsi="Times New Roman"/>
          <w:caps/>
          <w:color w:val="000000"/>
          <w:sz w:val="20"/>
        </w:rPr>
      </w:pPr>
      <w:r>
        <w:rPr>
          <w:rFonts w:ascii="Times New Roman" w:hAnsi="Times New Roman"/>
          <w:caps/>
          <w:color w:val="000000"/>
          <w:sz w:val="20"/>
        </w:rPr>
        <w:t>Article X LOAN GUARANTY 133</w:t>
      </w:r>
    </w:p>
    <w:p>
      <w:pPr>
        <w:pStyle w:val="TextBody"/>
        <w:bidi w:val="0"/>
        <w:jc w:val="both"/>
        <w:rPr>
          <w:rFonts w:ascii="Times New Roman" w:hAnsi="Times New Roman"/>
          <w:sz w:val="20"/>
        </w:rPr>
      </w:pPr>
      <w:r>
        <w:rPr>
          <w:rFonts w:ascii="Times New Roman" w:hAnsi="Times New Roman"/>
          <w:caps/>
          <w:color w:val="000000"/>
          <w:sz w:val="20"/>
        </w:rPr>
        <w:t>Section 10.01</w:t>
      </w:r>
      <w:r>
        <w:rPr>
          <w:rFonts w:ascii="Times New Roman" w:hAnsi="Times New Roman"/>
          <w:color w:val="000000"/>
          <w:sz w:val="20"/>
        </w:rPr>
        <w:t xml:space="preserve"> Guaranty 133</w:t>
      </w:r>
    </w:p>
    <w:p>
      <w:pPr>
        <w:pStyle w:val="TextBody"/>
        <w:bidi w:val="0"/>
        <w:jc w:val="both"/>
        <w:rPr>
          <w:rFonts w:ascii="Times New Roman" w:hAnsi="Times New Roman"/>
          <w:sz w:val="20"/>
        </w:rPr>
      </w:pPr>
      <w:r>
        <w:rPr>
          <w:rFonts w:ascii="Times New Roman" w:hAnsi="Times New Roman"/>
          <w:caps/>
          <w:color w:val="000000"/>
          <w:sz w:val="20"/>
        </w:rPr>
        <w:t>Section 10.02</w:t>
      </w:r>
      <w:r>
        <w:rPr>
          <w:rFonts w:ascii="Times New Roman" w:hAnsi="Times New Roman"/>
          <w:color w:val="000000"/>
          <w:sz w:val="20"/>
        </w:rPr>
        <w:t xml:space="preserve"> Guaranty of Payment 133</w:t>
      </w:r>
    </w:p>
    <w:p>
      <w:pPr>
        <w:pStyle w:val="TextBody"/>
        <w:bidi w:val="0"/>
        <w:jc w:val="both"/>
        <w:rPr>
          <w:rFonts w:ascii="Times New Roman" w:hAnsi="Times New Roman"/>
          <w:sz w:val="20"/>
        </w:rPr>
      </w:pPr>
      <w:r>
        <w:rPr>
          <w:rFonts w:ascii="Times New Roman" w:hAnsi="Times New Roman"/>
          <w:caps/>
          <w:color w:val="000000"/>
          <w:sz w:val="20"/>
        </w:rPr>
        <w:t>Section 10.03</w:t>
      </w:r>
      <w:r>
        <w:rPr>
          <w:rFonts w:ascii="Times New Roman" w:hAnsi="Times New Roman"/>
          <w:color w:val="000000"/>
          <w:sz w:val="20"/>
        </w:rPr>
        <w:t xml:space="preserve"> No Discharge or Diminishment of Loan Guaranty 13</w:t>
      </w:r>
      <w:r>
        <w:rPr>
          <w:rFonts w:ascii="Times New Roman" w:hAnsi="Times New Roman"/>
          <w:strike/>
          <w:color w:val="FF0000"/>
          <w:sz w:val="20"/>
        </w:rPr>
        <w:t>4</w:t>
      </w:r>
      <w:r>
        <w:rPr>
          <w:rFonts w:ascii="Times New Roman" w:hAnsi="Times New Roman"/>
          <w:color w:val="0000FF"/>
          <w:sz w:val="20"/>
          <w:u w:val="single"/>
        </w:rPr>
        <w:t>3</w:t>
      </w:r>
    </w:p>
    <w:p>
      <w:pPr>
        <w:pStyle w:val="TextBody"/>
        <w:bidi w:val="0"/>
        <w:jc w:val="both"/>
        <w:rPr>
          <w:rFonts w:ascii="Times New Roman" w:hAnsi="Times New Roman"/>
          <w:sz w:val="20"/>
        </w:rPr>
      </w:pPr>
      <w:r>
        <w:rPr>
          <w:rFonts w:ascii="Times New Roman" w:hAnsi="Times New Roman"/>
          <w:caps/>
          <w:color w:val="000000"/>
          <w:sz w:val="20"/>
        </w:rPr>
        <w:t>Section 10.04</w:t>
      </w:r>
      <w:r>
        <w:rPr>
          <w:rFonts w:ascii="Times New Roman" w:hAnsi="Times New Roman"/>
          <w:color w:val="000000"/>
          <w:sz w:val="20"/>
        </w:rPr>
        <w:t xml:space="preserve"> Defenses Waived 134</w:t>
      </w:r>
    </w:p>
    <w:p>
      <w:pPr>
        <w:pStyle w:val="TextBody"/>
        <w:bidi w:val="0"/>
        <w:jc w:val="both"/>
        <w:rPr>
          <w:rFonts w:ascii="Times New Roman" w:hAnsi="Times New Roman"/>
          <w:sz w:val="20"/>
        </w:rPr>
      </w:pPr>
      <w:r>
        <w:rPr>
          <w:rFonts w:ascii="Times New Roman" w:hAnsi="Times New Roman"/>
          <w:caps/>
          <w:color w:val="000000"/>
          <w:sz w:val="20"/>
        </w:rPr>
        <w:t>Section 10.05</w:t>
      </w:r>
      <w:r>
        <w:rPr>
          <w:rFonts w:ascii="Times New Roman" w:hAnsi="Times New Roman"/>
          <w:color w:val="000000"/>
          <w:sz w:val="20"/>
        </w:rPr>
        <w:t xml:space="preserve"> Rights of Subrogation 134</w:t>
      </w:r>
    </w:p>
    <w:p>
      <w:pPr>
        <w:pStyle w:val="TextBody"/>
        <w:bidi w:val="0"/>
        <w:jc w:val="both"/>
        <w:rPr>
          <w:rFonts w:ascii="Times New Roman" w:hAnsi="Times New Roman"/>
          <w:sz w:val="20"/>
        </w:rPr>
      </w:pPr>
      <w:r>
        <w:rPr>
          <w:rFonts w:ascii="Times New Roman" w:hAnsi="Times New Roman"/>
          <w:caps/>
          <w:color w:val="000000"/>
          <w:sz w:val="20"/>
        </w:rPr>
        <w:t>Section 10.06</w:t>
      </w:r>
      <w:r>
        <w:rPr>
          <w:rFonts w:ascii="Times New Roman" w:hAnsi="Times New Roman"/>
          <w:color w:val="000000"/>
          <w:sz w:val="20"/>
        </w:rPr>
        <w:t xml:space="preserve"> Reinstatement; Stay of Acceleration 13</w:t>
      </w:r>
      <w:r>
        <w:rPr>
          <w:rFonts w:ascii="Times New Roman" w:hAnsi="Times New Roman"/>
          <w:strike/>
          <w:color w:val="FF0000"/>
          <w:sz w:val="20"/>
        </w:rPr>
        <w:t>5</w:t>
      </w:r>
      <w:r>
        <w:rPr>
          <w:rFonts w:ascii="Times New Roman" w:hAnsi="Times New Roman"/>
          <w:color w:val="0000FF"/>
          <w:sz w:val="20"/>
          <w:u w:val="single"/>
        </w:rPr>
        <w:t>4</w:t>
      </w:r>
    </w:p>
    <w:p>
      <w:pPr>
        <w:pStyle w:val="TextBody"/>
        <w:bidi w:val="0"/>
        <w:jc w:val="both"/>
        <w:rPr>
          <w:rFonts w:ascii="Times New Roman" w:hAnsi="Times New Roman"/>
          <w:sz w:val="20"/>
        </w:rPr>
      </w:pPr>
      <w:r>
        <w:rPr>
          <w:rFonts w:ascii="Times New Roman" w:hAnsi="Times New Roman"/>
          <w:caps/>
          <w:color w:val="000000"/>
          <w:sz w:val="20"/>
        </w:rPr>
        <w:t>Section 10.07</w:t>
      </w:r>
      <w:r>
        <w:rPr>
          <w:rFonts w:ascii="Times New Roman" w:hAnsi="Times New Roman"/>
          <w:color w:val="000000"/>
          <w:sz w:val="20"/>
        </w:rPr>
        <w:t xml:space="preserve"> Information 135</w:t>
      </w:r>
    </w:p>
    <w:p>
      <w:pPr>
        <w:pStyle w:val="TextBody"/>
        <w:bidi w:val="0"/>
        <w:jc w:val="both"/>
        <w:rPr>
          <w:rFonts w:ascii="Times New Roman" w:hAnsi="Times New Roman"/>
          <w:sz w:val="20"/>
        </w:rPr>
      </w:pPr>
      <w:r>
        <w:rPr>
          <w:rFonts w:ascii="Times New Roman" w:hAnsi="Times New Roman"/>
          <w:caps/>
          <w:color w:val="000000"/>
          <w:sz w:val="20"/>
        </w:rPr>
        <w:t>Section 10.08</w:t>
      </w:r>
      <w:r>
        <w:rPr>
          <w:rFonts w:ascii="Times New Roman" w:hAnsi="Times New Roman"/>
          <w:color w:val="000000"/>
          <w:sz w:val="20"/>
        </w:rPr>
        <w:t xml:space="preserve"> [Intentionally Omitted]. 135</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p>
      <w:pPr>
        <w:pStyle w:val="TextBody"/>
        <w:bidi w:val="0"/>
        <w:jc w:val="both"/>
        <w:rPr>
          <w:rFonts w:ascii="Times New Roman" w:hAnsi="Times New Roman"/>
          <w:sz w:val="20"/>
        </w:rPr>
      </w:pPr>
      <w:r>
        <w:rPr>
          <w:rFonts w:ascii="Times New Roman" w:hAnsi="Times New Roman"/>
          <w:caps/>
          <w:color w:val="000000"/>
          <w:sz w:val="20"/>
        </w:rPr>
        <w:t>Section 10.09</w:t>
      </w:r>
      <w:r>
        <w:rPr>
          <w:rFonts w:ascii="Times New Roman" w:hAnsi="Times New Roman"/>
          <w:color w:val="000000"/>
          <w:sz w:val="20"/>
        </w:rPr>
        <w:t xml:space="preserve"> [Intentionally Omitted] 135</w:t>
      </w:r>
    </w:p>
    <w:p>
      <w:pPr>
        <w:pStyle w:val="TextBody"/>
        <w:bidi w:val="0"/>
        <w:jc w:val="both"/>
        <w:rPr>
          <w:rFonts w:ascii="Times New Roman" w:hAnsi="Times New Roman"/>
          <w:sz w:val="20"/>
        </w:rPr>
      </w:pPr>
      <w:r>
        <w:rPr>
          <w:rFonts w:ascii="Times New Roman" w:hAnsi="Times New Roman"/>
          <w:caps/>
          <w:color w:val="000000"/>
          <w:sz w:val="20"/>
        </w:rPr>
        <w:t>Section 10.10</w:t>
      </w:r>
      <w:r>
        <w:rPr>
          <w:rFonts w:ascii="Times New Roman" w:hAnsi="Times New Roman"/>
          <w:color w:val="000000"/>
          <w:sz w:val="20"/>
        </w:rPr>
        <w:t xml:space="preserve"> Maximum Liability 135</w:t>
      </w:r>
    </w:p>
    <w:p>
      <w:pPr>
        <w:pStyle w:val="TextBody"/>
        <w:bidi w:val="0"/>
        <w:jc w:val="both"/>
        <w:rPr>
          <w:rFonts w:ascii="Times New Roman" w:hAnsi="Times New Roman"/>
          <w:sz w:val="20"/>
        </w:rPr>
      </w:pPr>
      <w:r>
        <w:rPr>
          <w:rFonts w:ascii="Times New Roman" w:hAnsi="Times New Roman"/>
          <w:caps/>
          <w:color w:val="000000"/>
          <w:sz w:val="20"/>
        </w:rPr>
        <w:t>Section 10.11</w:t>
      </w:r>
      <w:r>
        <w:rPr>
          <w:rFonts w:ascii="Times New Roman" w:hAnsi="Times New Roman"/>
          <w:color w:val="000000"/>
          <w:sz w:val="20"/>
        </w:rPr>
        <w:t xml:space="preserve"> Contribution 135</w:t>
      </w:r>
    </w:p>
    <w:p>
      <w:pPr>
        <w:pStyle w:val="TextBody"/>
        <w:bidi w:val="0"/>
        <w:jc w:val="both"/>
        <w:rPr>
          <w:rFonts w:ascii="Times New Roman" w:hAnsi="Times New Roman"/>
          <w:sz w:val="20"/>
        </w:rPr>
      </w:pPr>
      <w:r>
        <w:rPr>
          <w:rFonts w:ascii="Times New Roman" w:hAnsi="Times New Roman"/>
          <w:caps/>
          <w:color w:val="000000"/>
          <w:sz w:val="20"/>
        </w:rPr>
        <w:t>Section 10.12</w:t>
      </w:r>
      <w:r>
        <w:rPr>
          <w:rFonts w:ascii="Times New Roman" w:hAnsi="Times New Roman"/>
          <w:color w:val="000000"/>
          <w:sz w:val="20"/>
        </w:rPr>
        <w:t xml:space="preserve"> Liability Cumulative 136</w:t>
      </w:r>
    </w:p>
    <w:p>
      <w:pPr>
        <w:pStyle w:val="TextBody"/>
        <w:bidi w:val="0"/>
        <w:jc w:val="both"/>
        <w:rPr>
          <w:rFonts w:ascii="Times New Roman" w:hAnsi="Times New Roman"/>
          <w:sz w:val="20"/>
        </w:rPr>
      </w:pPr>
      <w:r>
        <w:rPr>
          <w:rFonts w:ascii="Times New Roman" w:hAnsi="Times New Roman"/>
          <w:caps/>
          <w:color w:val="000000"/>
          <w:sz w:val="20"/>
        </w:rPr>
        <w:t>Section 10.13</w:t>
      </w:r>
      <w:r>
        <w:rPr>
          <w:rFonts w:ascii="Times New Roman" w:hAnsi="Times New Roman"/>
          <w:color w:val="000000"/>
          <w:sz w:val="20"/>
        </w:rPr>
        <w:t xml:space="preserve"> Keepwell 136</w:t>
      </w:r>
    </w:p>
    <w:p>
      <w:pPr>
        <w:pStyle w:val="TextBody"/>
        <w:bidi w:val="0"/>
        <w:jc w:val="both"/>
        <w:rPr>
          <w:rFonts w:ascii="Times New Roman" w:hAnsi="Times New Roman"/>
          <w:sz w:val="20"/>
        </w:rPr>
      </w:pPr>
      <w:r>
        <w:rPr>
          <w:rFonts w:ascii="Times New Roman" w:hAnsi="Times New Roman"/>
          <w:caps/>
          <w:color w:val="000000"/>
          <w:sz w:val="20"/>
        </w:rPr>
        <w:t>Section 10.14</w:t>
      </w:r>
      <w:r>
        <w:rPr>
          <w:rFonts w:ascii="Times New Roman" w:hAnsi="Times New Roman"/>
          <w:color w:val="000000"/>
          <w:sz w:val="20"/>
        </w:rPr>
        <w:t xml:space="preserve"> Release of Guarantors 136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Exhibit A Form of Assignment and Assumption </w:t>
      </w:r>
    </w:p>
    <w:p>
      <w:pPr>
        <w:pStyle w:val="TextBody"/>
        <w:bidi w:val="0"/>
        <w:jc w:val="both"/>
        <w:rPr>
          <w:rFonts w:ascii="Times New Roman" w:hAnsi="Times New Roman"/>
          <w:color w:val="000000"/>
          <w:sz w:val="20"/>
        </w:rPr>
      </w:pPr>
      <w:r>
        <w:rPr>
          <w:rFonts w:ascii="Times New Roman" w:hAnsi="Times New Roman"/>
          <w:color w:val="000000"/>
          <w:sz w:val="20"/>
        </w:rPr>
        <w:t xml:space="preserve">Exhibit B Form of Compliance Certificate </w:t>
      </w:r>
    </w:p>
    <w:p>
      <w:pPr>
        <w:pStyle w:val="TextBody"/>
        <w:bidi w:val="0"/>
        <w:jc w:val="both"/>
        <w:rPr>
          <w:rFonts w:ascii="Times New Roman" w:hAnsi="Times New Roman"/>
          <w:color w:val="000000"/>
          <w:sz w:val="20"/>
        </w:rPr>
      </w:pPr>
      <w:r>
        <w:rPr>
          <w:rFonts w:ascii="Times New Roman" w:hAnsi="Times New Roman"/>
          <w:color w:val="000000"/>
          <w:sz w:val="20"/>
        </w:rPr>
        <w:t xml:space="preserve">Exhibit C Form of Joinder Agreement </w:t>
      </w:r>
    </w:p>
    <w:p>
      <w:pPr>
        <w:pStyle w:val="TextBody"/>
        <w:bidi w:val="0"/>
        <w:jc w:val="both"/>
        <w:rPr>
          <w:rFonts w:ascii="Times New Roman" w:hAnsi="Times New Roman"/>
          <w:color w:val="000000"/>
          <w:sz w:val="20"/>
        </w:rPr>
      </w:pPr>
      <w:r>
        <w:rPr>
          <w:rFonts w:ascii="Times New Roman" w:hAnsi="Times New Roman"/>
          <w:color w:val="000000"/>
          <w:sz w:val="20"/>
        </w:rPr>
        <w:t>Exhibit D-1 U.S. Tax Compliance Certificate (Non-Partnership Foreign Lenders)</w:t>
      </w:r>
    </w:p>
    <w:p>
      <w:pPr>
        <w:pStyle w:val="TextBody"/>
        <w:bidi w:val="0"/>
        <w:jc w:val="both"/>
        <w:rPr>
          <w:rFonts w:ascii="Times New Roman" w:hAnsi="Times New Roman"/>
          <w:color w:val="000000"/>
          <w:sz w:val="20"/>
        </w:rPr>
      </w:pPr>
      <w:r>
        <w:rPr>
          <w:rFonts w:ascii="Times New Roman" w:hAnsi="Times New Roman"/>
          <w:color w:val="000000"/>
          <w:sz w:val="20"/>
        </w:rPr>
        <w:t>Exhibit D-2 U.S. Tax Compliance Certificate (Non-Partnership Foreign Participants)</w:t>
      </w:r>
    </w:p>
    <w:p>
      <w:pPr>
        <w:pStyle w:val="TextBody"/>
        <w:bidi w:val="0"/>
        <w:jc w:val="both"/>
        <w:rPr>
          <w:rFonts w:ascii="Times New Roman" w:hAnsi="Times New Roman"/>
          <w:color w:val="000000"/>
          <w:sz w:val="20"/>
        </w:rPr>
      </w:pPr>
      <w:r>
        <w:rPr>
          <w:rFonts w:ascii="Times New Roman" w:hAnsi="Times New Roman"/>
          <w:color w:val="000000"/>
          <w:sz w:val="20"/>
        </w:rPr>
        <w:t>Exhibit D-3 U.S. Tax Compliance Certificate (Foreign Participant Partnerships)</w:t>
      </w:r>
    </w:p>
    <w:p>
      <w:pPr>
        <w:pStyle w:val="TextBody"/>
        <w:bidi w:val="0"/>
        <w:jc w:val="both"/>
        <w:rPr>
          <w:rFonts w:ascii="Times New Roman" w:hAnsi="Times New Roman"/>
          <w:color w:val="000000"/>
          <w:sz w:val="20"/>
        </w:rPr>
      </w:pPr>
      <w:r>
        <w:rPr>
          <w:rFonts w:ascii="Times New Roman" w:hAnsi="Times New Roman"/>
          <w:color w:val="000000"/>
          <w:sz w:val="20"/>
        </w:rPr>
        <w:t>Exhibit D-4 U.S. Tax Compliance Certificate (Foreign Lender Partnerships)</w:t>
      </w:r>
    </w:p>
    <w:p>
      <w:pPr>
        <w:pStyle w:val="TextBody"/>
        <w:bidi w:val="0"/>
        <w:jc w:val="both"/>
        <w:rPr>
          <w:rFonts w:ascii="Times New Roman" w:hAnsi="Times New Roman"/>
          <w:color w:val="000000"/>
          <w:sz w:val="20"/>
        </w:rPr>
      </w:pPr>
      <w:r>
        <w:rPr>
          <w:rFonts w:ascii="Times New Roman" w:hAnsi="Times New Roman"/>
          <w:color w:val="000000"/>
          <w:sz w:val="20"/>
        </w:rPr>
        <w:t xml:space="preserve">Exhibit H Form of Solvency Certificate </w:t>
      </w:r>
    </w:p>
    <w:p>
      <w:pPr>
        <w:pStyle w:val="TextBody"/>
        <w:bidi w:val="0"/>
        <w:jc w:val="both"/>
        <w:rPr>
          <w:rFonts w:ascii="Times New Roman" w:hAnsi="Times New Roman"/>
          <w:color w:val="000000"/>
          <w:sz w:val="20"/>
        </w:rPr>
      </w:pPr>
      <w:r>
        <w:rPr>
          <w:rFonts w:ascii="Times New Roman" w:hAnsi="Times New Roman"/>
          <w:color w:val="000000"/>
          <w:sz w:val="20"/>
        </w:rPr>
        <w:t xml:space="preserve">Exhibit I Form of Promissory Note </w:t>
      </w:r>
    </w:p>
    <w:p>
      <w:pPr>
        <w:pStyle w:val="TextBody"/>
        <w:bidi w:val="0"/>
        <w:jc w:val="both"/>
        <w:rPr>
          <w:rFonts w:ascii="Times New Roman" w:hAnsi="Times New Roman"/>
          <w:color w:val="000000"/>
          <w:sz w:val="20"/>
        </w:rPr>
      </w:pPr>
      <w:r>
        <w:rPr>
          <w:rFonts w:ascii="Times New Roman" w:hAnsi="Times New Roman"/>
          <w:color w:val="000000"/>
          <w:sz w:val="20"/>
        </w:rPr>
        <w:t xml:space="preserve">Exhibit J Form of Pledge and Security Agreement </w:t>
      </w:r>
    </w:p>
    <w:p>
      <w:pPr>
        <w:pStyle w:val="TextBody"/>
        <w:bidi w:val="0"/>
        <w:jc w:val="both"/>
        <w:rPr>
          <w:rFonts w:ascii="Times New Roman" w:hAnsi="Times New Roman"/>
          <w:color w:val="000000"/>
          <w:sz w:val="20"/>
        </w:rPr>
      </w:pPr>
      <w:r>
        <w:rPr>
          <w:rFonts w:ascii="Times New Roman" w:hAnsi="Times New Roman"/>
          <w:color w:val="000000"/>
          <w:sz w:val="20"/>
        </w:rPr>
        <w:t>Exhibit L Form of Intercompany Note</w:t>
      </w:r>
    </w:p>
    <w:p>
      <w:pPr>
        <w:pStyle w:val="TextBody"/>
        <w:bidi w:val="0"/>
        <w:jc w:val="both"/>
        <w:rPr>
          <w:rFonts w:ascii="Times New Roman" w:hAnsi="Times New Roman"/>
          <w:sz w:val="20"/>
        </w:rPr>
      </w:pPr>
      <w:r>
        <w:rPr>
          <w:rFonts w:ascii="Times New Roman" w:hAnsi="Times New Roman"/>
          <w:color w:val="0000FF"/>
          <w:sz w:val="20"/>
          <w:u w:val="single"/>
        </w:rPr>
        <w:t>Exhibit M</w:t>
      </w:r>
      <w:r>
        <w:rPr>
          <w:rFonts w:ascii="Times New Roman" w:hAnsi="Times New Roman"/>
          <w:color w:val="000000"/>
          <w:sz w:val="20"/>
        </w:rPr>
        <w:t xml:space="preserve"> </w:t>
      </w:r>
      <w:r>
        <w:rPr>
          <w:rFonts w:ascii="Times New Roman" w:hAnsi="Times New Roman"/>
          <w:color w:val="0000FF"/>
          <w:sz w:val="20"/>
          <w:u w:val="single"/>
        </w:rPr>
        <w:t>Form of Liquidity Compliance Certificate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Schedules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 2.01 Commitments </w:t>
      </w:r>
    </w:p>
    <w:p>
      <w:pPr>
        <w:pStyle w:val="TextBody"/>
        <w:bidi w:val="0"/>
        <w:jc w:val="both"/>
        <w:rPr>
          <w:rFonts w:ascii="Times New Roman" w:hAnsi="Times New Roman"/>
          <w:color w:val="000000"/>
          <w:sz w:val="20"/>
        </w:rPr>
      </w:pPr>
      <w:r>
        <w:rPr>
          <w:rFonts w:ascii="Times New Roman" w:hAnsi="Times New Roman"/>
          <w:color w:val="000000"/>
          <w:sz w:val="20"/>
        </w:rPr>
        <w:t>Schedule 3.04 Financial Statements</w:t>
      </w:r>
    </w:p>
    <w:p>
      <w:pPr>
        <w:pStyle w:val="TextBody"/>
        <w:bidi w:val="0"/>
        <w:jc w:val="both"/>
        <w:rPr>
          <w:rFonts w:ascii="Times New Roman" w:hAnsi="Times New Roman"/>
          <w:color w:val="000000"/>
          <w:sz w:val="20"/>
        </w:rPr>
      </w:pPr>
      <w:r>
        <w:rPr>
          <w:rFonts w:ascii="Times New Roman" w:hAnsi="Times New Roman"/>
          <w:color w:val="000000"/>
          <w:sz w:val="20"/>
        </w:rPr>
        <w:t>Schedule 3.05 Owned Real Property; Intellectual Property</w:t>
      </w:r>
    </w:p>
    <w:p>
      <w:pPr>
        <w:pStyle w:val="TextBody"/>
        <w:bidi w:val="0"/>
        <w:jc w:val="both"/>
        <w:rPr>
          <w:rFonts w:ascii="Times New Roman" w:hAnsi="Times New Roman"/>
          <w:color w:val="000000"/>
          <w:sz w:val="20"/>
        </w:rPr>
      </w:pPr>
      <w:r>
        <w:rPr>
          <w:rFonts w:ascii="Times New Roman" w:hAnsi="Times New Roman"/>
          <w:color w:val="000000"/>
          <w:sz w:val="20"/>
        </w:rPr>
        <w:t>Schedule 3.06 Disclosed Matters</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 3.14 Insurance </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 3.15 Capitalization and Subsidiaries </w:t>
      </w:r>
    </w:p>
    <w:p>
      <w:pPr>
        <w:pStyle w:val="TextBody"/>
        <w:bidi w:val="0"/>
        <w:jc w:val="both"/>
        <w:rPr>
          <w:rFonts w:ascii="Times New Roman" w:hAnsi="Times New Roman"/>
          <w:color w:val="000000"/>
          <w:sz w:val="20"/>
        </w:rPr>
      </w:pPr>
      <w:r>
        <w:rPr>
          <w:rFonts w:ascii="Times New Roman" w:hAnsi="Times New Roman"/>
          <w:color w:val="000000"/>
          <w:sz w:val="20"/>
        </w:rPr>
        <w:t>Schedule 4.01(b) Collateral Documents</w:t>
      </w:r>
    </w:p>
    <w:p>
      <w:pPr>
        <w:pStyle w:val="TextBody"/>
        <w:bidi w:val="0"/>
        <w:jc w:val="both"/>
        <w:rPr>
          <w:rFonts w:ascii="Times New Roman" w:hAnsi="Times New Roman"/>
          <w:color w:val="000000"/>
          <w:sz w:val="20"/>
        </w:rPr>
      </w:pPr>
      <w:r>
        <w:rPr>
          <w:rFonts w:ascii="Times New Roman" w:hAnsi="Times New Roman"/>
          <w:color w:val="000000"/>
          <w:sz w:val="20"/>
        </w:rPr>
        <w:t>Schedule 5.13 Post-Closing Items</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 6.01 Existing Indebtedness </w:t>
      </w:r>
    </w:p>
    <w:p>
      <w:pPr>
        <w:pStyle w:val="TextBody"/>
        <w:bidi w:val="0"/>
        <w:jc w:val="both"/>
        <w:rPr>
          <w:rFonts w:ascii="Times New Roman" w:hAnsi="Times New Roman"/>
          <w:color w:val="000000"/>
          <w:sz w:val="20"/>
        </w:rPr>
      </w:pPr>
      <w:r>
        <w:rPr>
          <w:rFonts w:ascii="Times New Roman" w:hAnsi="Times New Roman"/>
          <w:color w:val="000000"/>
          <w:sz w:val="20"/>
        </w:rPr>
        <w:t>Schedule 6.02 Existing Liens</w:t>
      </w:r>
    </w:p>
    <w:p>
      <w:pPr>
        <w:pStyle w:val="TextBody"/>
        <w:bidi w:val="0"/>
        <w:jc w:val="both"/>
        <w:rPr>
          <w:rFonts w:ascii="Times New Roman" w:hAnsi="Times New Roman"/>
          <w:color w:val="000000"/>
          <w:sz w:val="20"/>
        </w:rPr>
      </w:pPr>
      <w:r>
        <w:rPr>
          <w:rFonts w:ascii="Times New Roman" w:hAnsi="Times New Roman"/>
          <w:color w:val="000000"/>
          <w:sz w:val="20"/>
        </w:rPr>
        <w:t>Schedule 6.04 Existing Investments</w:t>
      </w:r>
    </w:p>
    <w:p>
      <w:pPr>
        <w:pStyle w:val="TextBody"/>
        <w:bidi w:val="0"/>
        <w:jc w:val="both"/>
        <w:rPr>
          <w:rFonts w:ascii="Times New Roman" w:hAnsi="Times New Roman"/>
          <w:color w:val="000000"/>
          <w:sz w:val="20"/>
        </w:rPr>
      </w:pPr>
      <w:r>
        <w:rPr>
          <w:rFonts w:ascii="Times New Roman" w:hAnsi="Times New Roman"/>
          <w:color w:val="000000"/>
          <w:sz w:val="20"/>
        </w:rPr>
        <w:t>Schedule 6.05 Dispositions</w:t>
      </w:r>
    </w:p>
    <w:p>
      <w:pPr>
        <w:pStyle w:val="TextBody"/>
        <w:bidi w:val="0"/>
        <w:jc w:val="both"/>
        <w:rPr>
          <w:rFonts w:ascii="Times New Roman" w:hAnsi="Times New Roman"/>
          <w:color w:val="000000"/>
          <w:sz w:val="20"/>
        </w:rPr>
      </w:pPr>
      <w:r>
        <w:rPr>
          <w:rFonts w:ascii="Times New Roman" w:hAnsi="Times New Roman"/>
          <w:color w:val="000000"/>
          <w:sz w:val="20"/>
        </w:rPr>
        <w:t>Schedule 6.09 Restrictive Agreements</w:t>
      </w:r>
    </w:p>
    <w:p>
      <w:pPr>
        <w:pStyle w:val="TextBody"/>
        <w:bidi w:val="0"/>
        <w:jc w:val="both"/>
        <w:rPr>
          <w:rFonts w:ascii="Times New Roman" w:hAnsi="Times New Roman"/>
          <w:sz w:val="20"/>
        </w:rPr>
      </w:pPr>
      <w:r>
        <w:rPr>
          <w:rFonts w:ascii="Times New Roman" w:hAnsi="Times New Roman"/>
          <w:strike/>
          <w:color w:val="FF0000"/>
          <w:sz w:val="20"/>
        </w:rPr>
        <w:t>Schedule 6.10(b)</w:t>
      </w:r>
      <w:r>
        <w:rPr>
          <w:rFonts w:ascii="Times New Roman" w:hAnsi="Times New Roman"/>
          <w:color w:val="000000"/>
          <w:sz w:val="20"/>
        </w:rPr>
        <w:t xml:space="preserve"> </w:t>
      </w:r>
      <w:r>
        <w:rPr>
          <w:rFonts w:ascii="Times New Roman" w:hAnsi="Times New Roman"/>
          <w:strike/>
          <w:color w:val="FF0000"/>
          <w:sz w:val="20"/>
        </w:rPr>
        <w:t>Projected Free Cash Flow</w:t>
      </w:r>
      <w:r>
        <w:rPr>
          <w:rFonts w:ascii="Times New Roman" w:hAnsi="Times New Roman"/>
          <w:color w:val="FF0000"/>
          <w:sz w:val="20"/>
        </w:rPr>
        <w:t xml:space="preserve">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CREDIT AGREEMENT, dated as of August 8, 2025 (as it may be amended, modified, restated, or otherwise supplemented from time to time,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among FIREFLY AEROSPACE INC., a Delaware corporation, as the Borrower, the other Loan Parties party hereto, the Lenders and Issuing Banks party hereto, and WELLS FARGO BANK, NATIONAL ASSOCIATION, as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WHEREAS, on the Effective Date, the Borrower had requested that the Lenders extend credit to the Borrower in the form of a revolving credit facility (including a letter of credit subfacility) in an aggregate principal amount of $125,000,000 pursuant to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WHEREAS, on the First Amendment Effective Date, the Borrower had requested that the Lenders extend credit to the Borrower in the form of a revolving credit facility (including a letter of credit subfacility) in an aggregate principal amount of $260,000,000 pursuant to this Agreement; </w:t>
      </w:r>
      <w:r>
        <w:rPr>
          <w:rFonts w:ascii="Times New Roman" w:hAnsi="Times New Roman"/>
          <w:strike/>
          <w:color w:val="FF0000"/>
          <w:sz w:val="22"/>
        </w:rPr>
        <w:t>and</w:t>
      </w:r>
    </w:p>
    <w:p>
      <w:pPr>
        <w:pStyle w:val="TextBody"/>
        <w:bidi w:val="0"/>
        <w:spacing w:before="0" w:after="240"/>
        <w:jc w:val="both"/>
        <w:rPr>
          <w:rFonts w:ascii="Times New Roman" w:hAnsi="Times New Roman"/>
          <w:color w:val="0000FF"/>
          <w:sz w:val="22"/>
          <w:u w:val="single"/>
        </w:rPr>
      </w:pPr>
      <w:r>
        <w:rPr>
          <w:rFonts w:ascii="Times New Roman" w:hAnsi="Times New Roman"/>
          <w:color w:val="0000FF"/>
          <w:sz w:val="22"/>
          <w:u w:val="single"/>
        </w:rPr>
        <w:t>WHEREAS, on the Second Amendment Effective Date, the Borrower had requested that the 2026 Incremental Revolving Lender (as defined in the Second Amendment) extend credit to the Borrower in the form of the 2026 Incremental Revolving Commitments (as defined in the Second Amendment) in an aggregate principal amount of $45,000,000 pursuant to this Agreement;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proceeds of Borrowings hereunder will be used for working capital and other general corporate purposes of the Borrower and its Subsidiaries (including Permitted Acquisitions, capital expenditures, and other Investments and Restricted Payments, in each case, to the extent permitted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the parties hereto agree as follows:</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VI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DEFINITIONS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6.01</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b/>
          <w:i/>
          <w:color w:val="000000"/>
          <w:sz w:val="22"/>
        </w:rPr>
        <w:t>2025 Pro Forma Model</w:t>
      </w:r>
      <w:r>
        <w:rPr>
          <w:rFonts w:ascii="Times New Roman" w:hAnsi="Times New Roman"/>
          <w:color w:val="000000"/>
          <w:sz w:val="20"/>
        </w:rPr>
        <w:t xml:space="preserve">” </w:t>
      </w:r>
      <w:r>
        <w:rPr>
          <w:rFonts w:ascii="Times New Roman" w:hAnsi="Times New Roman"/>
          <w:color w:val="000000"/>
          <w:sz w:val="22"/>
        </w:rPr>
        <w:t>means that certain projection model delivered by the Sponsor to the Administrative Agent on October 27, 2025 (together with any updates or modifications thereto reasonably agreed between the Sponsor and the Administrative Agent).</w:t>
      </w:r>
    </w:p>
    <w:p>
      <w:pPr>
        <w:pStyle w:val="TextBody"/>
        <w:bidi w:val="0"/>
        <w:spacing w:before="0" w:after="240"/>
        <w:jc w:val="both"/>
        <w:rPr/>
      </w:pPr>
      <w:r>
        <w:rPr>
          <w:color w:val="000000"/>
        </w:rPr>
        <w:t>“</w:t>
      </w:r>
      <w:r>
        <w:rPr>
          <w:rFonts w:ascii="Times New Roman" w:hAnsi="Times New Roman"/>
          <w:b/>
          <w:i/>
          <w:color w:val="000000"/>
          <w:sz w:val="22"/>
        </w:rPr>
        <w:t>ABR</w:t>
      </w:r>
      <w:r>
        <w:rPr>
          <w:rFonts w:ascii="Times New Roman" w:hAnsi="Times New Roman"/>
          <w:color w:val="000000"/>
          <w:sz w:val="20"/>
        </w:rPr>
        <w:t xml:space="preserve">” </w:t>
      </w:r>
      <w:r>
        <w:rPr>
          <w:rFonts w:ascii="Times New Roman" w:hAnsi="Times New Roman"/>
          <w:color w:val="000000"/>
          <w:sz w:val="22"/>
        </w:rPr>
        <w:t>when used in reference to any Loan or Borrowing, refers to whether such Loan, or the Loans comprising such Borrowing, bear interest at a rate determined by reference to the Alternate Base Rate.</w:t>
      </w:r>
    </w:p>
    <w:p>
      <w:pPr>
        <w:pStyle w:val="TextBody"/>
        <w:bidi w:val="0"/>
        <w:spacing w:before="0" w:after="240"/>
        <w:jc w:val="both"/>
        <w:rPr/>
      </w:pPr>
      <w:r>
        <w:rPr>
          <w:color w:val="000000"/>
        </w:rPr>
        <w:t>“</w:t>
      </w:r>
      <w:r>
        <w:rPr>
          <w:rFonts w:ascii="Times New Roman" w:hAnsi="Times New Roman"/>
          <w:b/>
          <w:i/>
          <w:color w:val="000000"/>
          <w:sz w:val="22"/>
        </w:rPr>
        <w:t>Acceptable Subordination or Intercreditor Agreement</w:t>
      </w:r>
      <w:r>
        <w:rPr>
          <w:rFonts w:ascii="Times New Roman" w:hAnsi="Times New Roman"/>
          <w:color w:val="000000"/>
          <w:sz w:val="20"/>
        </w:rPr>
        <w:t xml:space="preserve">” </w:t>
      </w:r>
      <w:r>
        <w:rPr>
          <w:rFonts w:ascii="Times New Roman" w:hAnsi="Times New Roman"/>
          <w:color w:val="000000"/>
          <w:sz w:val="22"/>
        </w:rPr>
        <w:t>means (y) any intercreditor agreement reasonably acceptable to the Administrative Agent or (z) any subordination agreement reasonably acceptable to the Administrative Agent.</w:t>
      </w:r>
    </w:p>
    <w:p>
      <w:pPr>
        <w:pStyle w:val="TextBody"/>
        <w:bidi w:val="0"/>
        <w:spacing w:before="0" w:after="240"/>
        <w:jc w:val="both"/>
        <w:rPr/>
      </w:pPr>
      <w:r>
        <w:rPr>
          <w:color w:val="000000"/>
        </w:rPr>
        <w:t>“</w:t>
      </w:r>
      <w:r>
        <w:rPr>
          <w:rFonts w:ascii="Times New Roman" w:hAnsi="Times New Roman"/>
          <w:b/>
          <w:i/>
          <w:color w:val="000000"/>
          <w:sz w:val="22"/>
        </w:rPr>
        <w:t>Account Debtor</w:t>
      </w:r>
      <w:r>
        <w:rPr>
          <w:rFonts w:ascii="Times New Roman" w:hAnsi="Times New Roman"/>
          <w:color w:val="000000"/>
          <w:sz w:val="20"/>
        </w:rPr>
        <w:t xml:space="preserve">” </w:t>
      </w:r>
      <w:r>
        <w:rPr>
          <w:rFonts w:ascii="Times New Roman" w:hAnsi="Times New Roman"/>
          <w:color w:val="000000"/>
          <w:sz w:val="22"/>
        </w:rPr>
        <w:t>means any Person obligated on an Account.</w:t>
      </w:r>
    </w:p>
    <w:p>
      <w:pPr>
        <w:pStyle w:val="TextBody"/>
        <w:bidi w:val="0"/>
        <w:spacing w:before="0" w:after="240"/>
        <w:jc w:val="both"/>
        <w:rPr/>
      </w:pPr>
      <w:r>
        <w:rPr>
          <w:color w:val="000000"/>
        </w:rPr>
        <w:t>“</w:t>
      </w:r>
      <w:r>
        <w:rPr>
          <w:rFonts w:ascii="Times New Roman" w:hAnsi="Times New Roman"/>
          <w:b/>
          <w:i/>
          <w:color w:val="000000"/>
          <w:sz w:val="22"/>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by the Borrower or any Subsidiaries of the Borrower resulting, directly or indirectly, in (a) the acquisition of all or substantially all of the assets of any Person (other than an existing Subsidiary), or any business or division of any Person (other than an existing Subsidiary), (b) the acquisition of in excess of fifty percent (50%) of the stock (or other Equity Interests) with ordinary voting power of any Person (other than an existing Subsidiary), or (c)</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acquisition of another Person (other than an existing Subsidiary) by a merger, amalgamation or consolidation or any other combination with such Person.</w:t>
      </w:r>
    </w:p>
    <w:p>
      <w:pPr>
        <w:pStyle w:val="TextBody"/>
        <w:bidi w:val="0"/>
        <w:spacing w:before="0" w:after="240"/>
        <w:jc w:val="both"/>
        <w:rPr/>
      </w:pPr>
      <w:r>
        <w:rPr>
          <w:color w:val="000000"/>
        </w:rPr>
        <w:t>“</w:t>
      </w:r>
      <w:r>
        <w:rPr>
          <w:rFonts w:ascii="Times New Roman" w:hAnsi="Times New Roman"/>
          <w:b/>
          <w:i/>
          <w:color w:val="000000"/>
          <w:sz w:val="22"/>
        </w:rPr>
        <w:t>Acquisition Consideration</w:t>
      </w:r>
      <w:r>
        <w:rPr>
          <w:rFonts w:ascii="Times New Roman" w:hAnsi="Times New Roman"/>
          <w:color w:val="000000"/>
          <w:sz w:val="20"/>
        </w:rPr>
        <w:t xml:space="preserve">” </w:t>
      </w:r>
      <w:r>
        <w:rPr>
          <w:rFonts w:ascii="Times New Roman" w:hAnsi="Times New Roman"/>
          <w:color w:val="000000"/>
          <w:sz w:val="22"/>
        </w:rPr>
        <w:t>shall mean the sum of the purchase price for any Permitted Acquisition payable at or prior to the closing date of such Permitted Acquisition (and which, for the avoidance of doubt, shall not include any purchase price adjustment, royalty, earn-out, contingent payment, working capital adjustment or any other deferred payment of a similar nature).</w:t>
      </w:r>
    </w:p>
    <w:p>
      <w:pPr>
        <w:pStyle w:val="TextBody"/>
        <w:bidi w:val="0"/>
        <w:spacing w:before="0" w:after="240"/>
        <w:jc w:val="both"/>
        <w:rPr/>
      </w:pPr>
      <w:r>
        <w:rPr>
          <w:color w:val="000000"/>
        </w:rPr>
        <w:t>“</w:t>
      </w:r>
      <w:r>
        <w:rPr>
          <w:rFonts w:ascii="Times New Roman" w:hAnsi="Times New Roman"/>
          <w:b/>
          <w:i/>
          <w:color w:val="000000"/>
          <w:sz w:val="22"/>
        </w:rPr>
        <w:t>Adjusted Daily Simple SOFR</w:t>
      </w:r>
      <w:r>
        <w:rPr>
          <w:rFonts w:ascii="Times New Roman" w:hAnsi="Times New Roman"/>
          <w:color w:val="000000"/>
          <w:sz w:val="20"/>
        </w:rPr>
        <w:t xml:space="preserve">” </w:t>
      </w:r>
      <w:r>
        <w:rPr>
          <w:rFonts w:ascii="Times New Roman" w:hAnsi="Times New Roman"/>
          <w:color w:val="000000"/>
          <w:sz w:val="22"/>
        </w:rPr>
        <w:t xml:space="preserve">means an interest rate per annum equal to (a) the Daily Simple SOFR, plus (b) the related Benchmark Replacement Adjustment; </w:t>
      </w:r>
      <w:r>
        <w:rPr>
          <w:rFonts w:ascii="Times New Roman" w:hAnsi="Times New Roman"/>
          <w:i/>
          <w:color w:val="000000"/>
          <w:sz w:val="22"/>
        </w:rPr>
        <w:t xml:space="preserve">provided </w:t>
      </w:r>
      <w:r>
        <w:rPr>
          <w:rFonts w:ascii="Times New Roman" w:hAnsi="Times New Roman"/>
          <w:color w:val="000000"/>
          <w:sz w:val="22"/>
        </w:rPr>
        <w:t>that if the Adjusted Daily Simple SOFR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i/>
          <w:color w:val="000000"/>
          <w:sz w:val="22"/>
        </w:rPr>
        <w:t>Adjusted Term SOFR Rate</w:t>
      </w:r>
      <w:r>
        <w:rPr>
          <w:rFonts w:ascii="Times New Roman" w:hAnsi="Times New Roman"/>
          <w:color w:val="000000"/>
          <w:sz w:val="20"/>
        </w:rPr>
        <w:t xml:space="preserve">” </w:t>
      </w:r>
      <w:r>
        <w:rPr>
          <w:rFonts w:ascii="Times New Roman" w:hAnsi="Times New Roman"/>
          <w:color w:val="000000"/>
          <w:sz w:val="22"/>
        </w:rPr>
        <w:t xml:space="preserve">means for any Interest Period, an interest rate per annum equal to the Term SOFR Rate for such Interest Period; </w:t>
      </w:r>
      <w:r>
        <w:rPr>
          <w:rFonts w:ascii="Times New Roman" w:hAnsi="Times New Roman"/>
          <w:i/>
          <w:color w:val="000000"/>
          <w:sz w:val="22"/>
        </w:rPr>
        <w:t xml:space="preserve">provided </w:t>
      </w:r>
      <w:r>
        <w:rPr>
          <w:rFonts w:ascii="Times New Roman" w:hAnsi="Times New Roman"/>
          <w:color w:val="000000"/>
          <w:sz w:val="22"/>
        </w:rPr>
        <w:t>that if the Adjusted Term SOFR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i/>
          <w:color w:val="000000"/>
          <w:sz w:val="22"/>
        </w:rPr>
        <w:t>Administrative Agent</w:t>
      </w:r>
      <w:r>
        <w:rPr>
          <w:rFonts w:ascii="Times New Roman" w:hAnsi="Times New Roman"/>
          <w:color w:val="000000"/>
          <w:sz w:val="20"/>
        </w:rPr>
        <w:t xml:space="preserve">” </w:t>
      </w:r>
      <w:r>
        <w:rPr>
          <w:rFonts w:ascii="Times New Roman" w:hAnsi="Times New Roman"/>
          <w:color w:val="000000"/>
          <w:sz w:val="22"/>
        </w:rPr>
        <w:t>means Wells Fargo Bank, National Association (or any of its designated branch offices or affiliates), in its capacity as administrative agent for the Lenders hereunder.</w:t>
      </w:r>
    </w:p>
    <w:p>
      <w:pPr>
        <w:pStyle w:val="TextBody"/>
        <w:bidi w:val="0"/>
        <w:spacing w:before="0" w:after="240"/>
        <w:jc w:val="both"/>
        <w:rPr/>
      </w:pPr>
      <w:r>
        <w:rPr>
          <w:color w:val="000000"/>
        </w:rPr>
        <w:t>“</w:t>
      </w:r>
      <w:r>
        <w:rPr>
          <w:rFonts w:ascii="Times New Roman" w:hAnsi="Times New Roman"/>
          <w:b/>
          <w:i/>
          <w:color w:val="000000"/>
          <w:sz w:val="22"/>
        </w:rPr>
        <w:t>Administrative Questionnaire</w:t>
      </w:r>
      <w:r>
        <w:rPr>
          <w:rFonts w:ascii="Times New Roman" w:hAnsi="Times New Roman"/>
          <w:color w:val="000000"/>
          <w:sz w:val="20"/>
        </w:rPr>
        <w:t xml:space="preserve">” </w:t>
      </w:r>
      <w:r>
        <w:rPr>
          <w:rFonts w:ascii="Times New Roman" w:hAnsi="Times New Roman"/>
          <w:color w:val="000000"/>
          <w:sz w:val="22"/>
        </w:rPr>
        <w:t>means an Administrative Questionnaire in a form supplied by the Administrative Agent to the Borrower or any Lender, as the context requires.</w:t>
      </w:r>
    </w:p>
    <w:p>
      <w:pPr>
        <w:pStyle w:val="TextBody"/>
        <w:bidi w:val="0"/>
        <w:spacing w:before="0" w:after="240"/>
        <w:jc w:val="both"/>
        <w:rPr/>
      </w:pPr>
      <w:r>
        <w:rPr>
          <w:color w:val="000000"/>
        </w:rPr>
        <w:t>“</w:t>
      </w:r>
      <w:r>
        <w:rPr>
          <w:rFonts w:ascii="Times New Roman" w:hAnsi="Times New Roman"/>
          <w:b/>
          <w:i/>
          <w:color w:val="000000"/>
          <w:sz w:val="22"/>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b/>
          <w:i/>
          <w:color w:val="000000"/>
          <w:sz w:val="22"/>
        </w:rPr>
        <w:t>Affiliate</w:t>
      </w:r>
      <w:r>
        <w:rPr>
          <w:rFonts w:ascii="Times New Roman" w:hAnsi="Times New Roman"/>
          <w:color w:val="000000"/>
          <w:sz w:val="20"/>
        </w:rPr>
        <w:t xml:space="preserve">” </w:t>
      </w:r>
      <w:r>
        <w:rPr>
          <w:rFonts w:ascii="Times New Roman" w:hAnsi="Times New Roman"/>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b/>
          <w:i/>
          <w:color w:val="000000"/>
          <w:sz w:val="22"/>
        </w:rPr>
        <w:t>Agent-Related Person</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9.03(d)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Aggregate Credit Exposure</w:t>
      </w:r>
      <w:r>
        <w:rPr>
          <w:rFonts w:ascii="Times New Roman" w:hAnsi="Times New Roman"/>
          <w:color w:val="000000"/>
          <w:sz w:val="20"/>
        </w:rPr>
        <w:t xml:space="preserve">” </w:t>
      </w:r>
      <w:r>
        <w:rPr>
          <w:rFonts w:ascii="Times New Roman" w:hAnsi="Times New Roman"/>
          <w:color w:val="000000"/>
          <w:sz w:val="22"/>
        </w:rPr>
        <w:t>means, at any time, the aggregate Credit Exposure of all the Lenders at such time.</w:t>
      </w:r>
    </w:p>
    <w:p>
      <w:pPr>
        <w:pStyle w:val="TextBody"/>
        <w:bidi w:val="0"/>
        <w:spacing w:before="0" w:after="240"/>
        <w:jc w:val="both"/>
        <w:rPr/>
      </w:pPr>
      <w:r>
        <w:rPr>
          <w:color w:val="000000"/>
        </w:rPr>
        <w:t>“</w:t>
      </w:r>
      <w:r>
        <w:rPr>
          <w:rFonts w:ascii="Times New Roman" w:hAnsi="Times New Roman"/>
          <w:b/>
          <w:i/>
          <w:color w:val="000000"/>
          <w:sz w:val="22"/>
        </w:rPr>
        <w:t>Agreement</w:t>
      </w:r>
      <w:r>
        <w:rPr>
          <w:rFonts w:ascii="Times New Roman" w:hAnsi="Times New Roman"/>
          <w:color w:val="000000"/>
          <w:sz w:val="20"/>
        </w:rPr>
        <w:t xml:space="preserve">” </w:t>
      </w:r>
      <w:r>
        <w:rPr>
          <w:rFonts w:ascii="Times New Roman" w:hAnsi="Times New Roman"/>
          <w:color w:val="000000"/>
          <w:sz w:val="22"/>
        </w:rPr>
        <w:t>has the meaning assigned to it in the introductory paragraph of this Agreement.</w:t>
      </w:r>
    </w:p>
    <w:p>
      <w:pPr>
        <w:pStyle w:val="TextBody"/>
        <w:bidi w:val="0"/>
        <w:spacing w:before="0" w:after="240"/>
        <w:jc w:val="both"/>
        <w:rPr/>
      </w:pPr>
      <w:r>
        <w:rPr>
          <w:color w:val="000000"/>
        </w:rPr>
        <w:t>“</w:t>
      </w:r>
      <w:r>
        <w:rPr>
          <w:rFonts w:ascii="Times New Roman" w:hAnsi="Times New Roman"/>
          <w:b/>
          <w:i/>
          <w:color w:val="000000"/>
          <w:sz w:val="22"/>
        </w:rPr>
        <w:t>Alternate Base Rate</w:t>
      </w:r>
      <w:r>
        <w:rPr>
          <w:rFonts w:ascii="Times New Roman" w:hAnsi="Times New Roman"/>
          <w:color w:val="000000"/>
          <w:sz w:val="20"/>
        </w:rPr>
        <w:t xml:space="preserve">” </w:t>
      </w:r>
      <w:r>
        <w:rPr>
          <w:rFonts w:ascii="Times New Roman" w:hAnsi="Times New Roman"/>
          <w:color w:val="000000"/>
          <w:sz w:val="22"/>
        </w:rPr>
        <w:t xml:space="preserve">means, for any day, a rate per annum equal to the greatest of (a) the Prime Rate in effect on such day, (b) the NYFRB Rate in effect on such day plus </w:t>
      </w:r>
      <w:r>
        <w:rPr>
          <w:rFonts w:ascii="Times New Roman" w:hAnsi="Times New Roman"/>
          <w:color w:val="000000"/>
          <w:sz w:val="15"/>
        </w:rPr>
        <w:t>1</w:t>
      </w:r>
      <w:r>
        <w:rPr>
          <w:rFonts w:ascii="Times New Roman" w:hAnsi="Times New Roman"/>
          <w:color w:val="000000"/>
          <w:sz w:val="22"/>
        </w:rPr>
        <w:t>/</w:t>
      </w:r>
      <w:r>
        <w:rPr>
          <w:rFonts w:ascii="Times New Roman" w:hAnsi="Times New Roman"/>
          <w:color w:val="000000"/>
          <w:sz w:val="15"/>
        </w:rPr>
        <w:t>2</w:t>
      </w:r>
      <w:r>
        <w:rPr>
          <w:rFonts w:ascii="Times New Roman" w:hAnsi="Times New Roman"/>
          <w:color w:val="000000"/>
          <w:sz w:val="20"/>
        </w:rPr>
        <w:t xml:space="preserve"> </w:t>
      </w:r>
      <w:r>
        <w:rPr>
          <w:rFonts w:ascii="Times New Roman" w:hAnsi="Times New Roman"/>
          <w:color w:val="000000"/>
          <w:sz w:val="22"/>
        </w:rPr>
        <w:t xml:space="preserve">of 1%, and (c) the Adjusted Term SOFR Rate for a one-month Interest Period as published two (2) U.S. Government Securities Business Days prior to such day (or if such day is not a U.S. Government Securities Business Day, the immediately preceding U.S. Government Securities Business Day) plus 1%, </w:t>
      </w:r>
      <w:r>
        <w:rPr>
          <w:rFonts w:ascii="Times New Roman" w:hAnsi="Times New Roman"/>
          <w:i/>
          <w:color w:val="000000"/>
          <w:sz w:val="22"/>
        </w:rPr>
        <w:t xml:space="preserve">provided </w:t>
      </w:r>
      <w:r>
        <w:rPr>
          <w:rFonts w:ascii="Times New Roman" w:hAnsi="Times New Roman"/>
          <w:color w:val="000000"/>
          <w:sz w:val="22"/>
        </w:rPr>
        <w:t xml:space="preserve">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(for the avoidance of doubt, only until the Benchmark Replacement has been determined pursuant to </w:t>
      </w:r>
      <w:r>
        <w:rPr>
          <w:rFonts w:ascii="Times New Roman" w:hAnsi="Times New Roman"/>
          <w:color w:val="000000"/>
          <w:sz w:val="22"/>
          <w:u w:val="single"/>
        </w:rPr>
        <w:t>Section 2.14(b)</w:t>
      </w:r>
      <w:r>
        <w:rPr>
          <w:rFonts w:ascii="Times New Roman" w:hAnsi="Times New Roman"/>
          <w:color w:val="000000"/>
          <w:sz w:val="22"/>
        </w:rPr>
        <w:t>), then the Alternate</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Base Rate shall be the greater of clauses (a) and (b) above and shall be determined without reference to clause (c) above. For the avoidance of doubt, if the Alternate Base Rate as determined pursuant to the foregoing would be less than 0.00%, such rate shall be deemed to be 0.00% for purposes of this Agreement.</w:t>
      </w:r>
    </w:p>
    <w:p>
      <w:pPr>
        <w:pStyle w:val="TextBody"/>
        <w:bidi w:val="0"/>
        <w:spacing w:before="0" w:after="240"/>
        <w:jc w:val="both"/>
        <w:rPr/>
      </w:pPr>
      <w:r>
        <w:rPr>
          <w:color w:val="000000"/>
        </w:rPr>
        <w:t>“</w:t>
      </w:r>
      <w:r>
        <w:rPr>
          <w:rFonts w:ascii="Times New Roman" w:hAnsi="Times New Roman"/>
          <w:b/>
          <w:i/>
          <w:color w:val="000000"/>
          <w:sz w:val="22"/>
        </w:rPr>
        <w:t>Ancillary Document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9.06(b)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the Borrower or any Subsidiaries of the Borrower from time to time concerning or relating to bribery or corruption, including without limitation the U.S. Foreign Corrupt Practices Act of 1977, as amended and the UK Bribery Act of 2010, as amended.</w:t>
      </w:r>
    </w:p>
    <w:p>
      <w:pPr>
        <w:pStyle w:val="TextBody"/>
        <w:bidi w:val="0"/>
        <w:spacing w:before="0" w:after="240"/>
        <w:jc w:val="both"/>
        <w:rPr/>
      </w:pPr>
      <w:r>
        <w:rPr>
          <w:color w:val="000000"/>
        </w:rPr>
        <w:t>“</w:t>
      </w:r>
      <w:r>
        <w:rPr>
          <w:rFonts w:ascii="Times New Roman" w:hAnsi="Times New Roman"/>
          <w:b/>
          <w:i/>
          <w:color w:val="000000"/>
          <w:sz w:val="22"/>
        </w:rPr>
        <w:t>Anti-Money Laundering Laws</w:t>
      </w:r>
      <w:r>
        <w:rPr>
          <w:rFonts w:ascii="Times New Roman" w:hAnsi="Times New Roman"/>
          <w:color w:val="000000"/>
          <w:sz w:val="20"/>
        </w:rPr>
        <w:t xml:space="preserve">” </w:t>
      </w:r>
      <w:r>
        <w:rPr>
          <w:rFonts w:ascii="Times New Roman" w:hAnsi="Times New Roman"/>
          <w:color w:val="000000"/>
          <w:sz w:val="22"/>
        </w:rPr>
        <w:t>means any U.S. or relevant foreign laws concerning or relating to money laundering or terrorism financing, including without limitation, the USA PATRIOT ACT, as amended, the Bank Secrecy Act of 1970, as amended, 18 U.S.C. Sections 1956 and 1957, the Beneficial Ownership Regulation, Executive Order No. 13224 on Terrorist Financing (effective September 23, 2001), and the laws administered and enforced by the U.S. Department of Treasury’s Financial Crimes Enforcement Network (FinCEN).</w:t>
      </w:r>
    </w:p>
    <w:p>
      <w:pPr>
        <w:pStyle w:val="TextBody"/>
        <w:bidi w:val="0"/>
        <w:spacing w:before="0" w:after="240"/>
        <w:jc w:val="both"/>
        <w:rPr/>
      </w:pPr>
      <w:r>
        <w:rPr>
          <w:color w:val="000000"/>
        </w:rPr>
        <w:t>“</w:t>
      </w:r>
      <w:r>
        <w:rPr>
          <w:rFonts w:ascii="Times New Roman" w:hAnsi="Times New Roman"/>
          <w:b/>
          <w:i/>
          <w:color w:val="000000"/>
          <w:sz w:val="22"/>
        </w:rPr>
        <w:t>Applicable Commitment Fee</w:t>
      </w:r>
      <w:r>
        <w:rPr>
          <w:rFonts w:ascii="Times New Roman" w:hAnsi="Times New Roman"/>
          <w:color w:val="000000"/>
          <w:sz w:val="20"/>
        </w:rPr>
        <w:t xml:space="preserve">” </w:t>
      </w:r>
      <w:r>
        <w:rPr>
          <w:rFonts w:ascii="Times New Roman" w:hAnsi="Times New Roman"/>
          <w:color w:val="000000"/>
          <w:sz w:val="22"/>
        </w:rPr>
        <w:t>means 0.375%.</w:t>
      </w:r>
    </w:p>
    <w:p>
      <w:pPr>
        <w:pStyle w:val="TextBody"/>
        <w:bidi w:val="0"/>
        <w:spacing w:before="0" w:after="240"/>
        <w:jc w:val="both"/>
        <w:rPr/>
      </w:pPr>
      <w:r>
        <w:rPr>
          <w:color w:val="000000"/>
        </w:rPr>
        <w:t>“</w:t>
      </w:r>
      <w:r>
        <w:rPr>
          <w:rFonts w:ascii="Times New Roman" w:hAnsi="Times New Roman"/>
          <w:b/>
          <w:i/>
          <w:color w:val="000000"/>
          <w:sz w:val="22"/>
        </w:rPr>
        <w:t>Applicable Parties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8.03(c)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Applicable Percentage</w:t>
      </w:r>
      <w:r>
        <w:rPr>
          <w:rFonts w:ascii="Times New Roman" w:hAnsi="Times New Roman"/>
          <w:color w:val="000000"/>
          <w:sz w:val="20"/>
        </w:rPr>
        <w:t xml:space="preserve">” </w:t>
      </w:r>
      <w:r>
        <w:rPr>
          <w:rFonts w:ascii="Times New Roman" w:hAnsi="Times New Roman"/>
          <w:color w:val="000000"/>
          <w:sz w:val="22"/>
        </w:rPr>
        <w:t>means, at any time with respect to any Lender, a percentage equal to a fraction the numerator of which is such Lender’s Commitment at such time and the denominator of which is the aggregate Commitments at such time (</w:t>
      </w:r>
      <w:r>
        <w:rPr>
          <w:rFonts w:ascii="Times New Roman" w:hAnsi="Times New Roman"/>
          <w:i/>
          <w:color w:val="000000"/>
          <w:sz w:val="22"/>
        </w:rPr>
        <w:t xml:space="preserve">provided </w:t>
      </w:r>
      <w:r>
        <w:rPr>
          <w:rFonts w:ascii="Times New Roman" w:hAnsi="Times New Roman"/>
          <w:color w:val="000000"/>
          <w:sz w:val="22"/>
        </w:rPr>
        <w:t xml:space="preserve">that if the Commitments have terminated or expired, the Applicable Percentages shall be determined based upon such Lender’s share of the Aggregate Credit Exposure at such time); </w:t>
      </w:r>
      <w:r>
        <w:rPr>
          <w:rFonts w:ascii="Times New Roman" w:hAnsi="Times New Roman"/>
          <w:i/>
          <w:color w:val="000000"/>
          <w:sz w:val="22"/>
        </w:rPr>
        <w:t xml:space="preserve">provided </w:t>
      </w:r>
      <w:r>
        <w:rPr>
          <w:rFonts w:ascii="Times New Roman" w:hAnsi="Times New Roman"/>
          <w:color w:val="000000"/>
          <w:sz w:val="22"/>
        </w:rPr>
        <w:t xml:space="preserve">that, in accordance with </w:t>
      </w:r>
      <w:r>
        <w:rPr>
          <w:rFonts w:ascii="Times New Roman" w:hAnsi="Times New Roman"/>
          <w:color w:val="000000"/>
          <w:sz w:val="22"/>
          <w:u w:val="single"/>
        </w:rPr>
        <w:t>Section 2.20</w:t>
      </w:r>
      <w:r>
        <w:rPr>
          <w:rFonts w:ascii="Times New Roman" w:hAnsi="Times New Roman"/>
          <w:color w:val="000000"/>
          <w:sz w:val="22"/>
        </w:rPr>
        <w:t>, so long as any Lender shall be a Defaulting Lender, such Defaulting Lender’s Commitment shall be disregarded in the calculations above.</w:t>
      </w:r>
    </w:p>
    <w:p>
      <w:pPr>
        <w:pStyle w:val="TextBody"/>
        <w:bidi w:val="0"/>
        <w:spacing w:before="0" w:after="240"/>
        <w:jc w:val="both"/>
        <w:rPr/>
      </w:pPr>
      <w:r>
        <w:rPr>
          <w:color w:val="000000"/>
        </w:rPr>
        <w:t>“</w:t>
      </w:r>
      <w:r>
        <w:rPr>
          <w:rFonts w:ascii="Times New Roman" w:hAnsi="Times New Roman"/>
          <w:b/>
          <w:i/>
          <w:color w:val="000000"/>
          <w:sz w:val="22"/>
        </w:rPr>
        <w:t>Applicable Rate</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FF"/>
          <w:sz w:val="22"/>
          <w:u w:val="single"/>
        </w:rPr>
        <w:t xml:space="preserve">(x) </w:t>
      </w:r>
      <w:r>
        <w:rPr>
          <w:rFonts w:ascii="Times New Roman" w:hAnsi="Times New Roman"/>
          <w:color w:val="000000"/>
          <w:sz w:val="22"/>
        </w:rPr>
        <w:t>for any day</w:t>
      </w:r>
      <w:r>
        <w:rPr>
          <w:rFonts w:ascii="Times New Roman" w:hAnsi="Times New Roman"/>
          <w:color w:val="0000FF"/>
          <w:sz w:val="20"/>
          <w:u w:val="single"/>
        </w:rPr>
        <w:t xml:space="preserve"> </w:t>
      </w:r>
      <w:r>
        <w:rPr>
          <w:rFonts w:ascii="Times New Roman" w:hAnsi="Times New Roman"/>
          <w:color w:val="0000FF"/>
          <w:sz w:val="22"/>
          <w:u w:val="single"/>
        </w:rPr>
        <w:t>prior to the Second Amendment Effective Date</w:t>
      </w:r>
      <w:r>
        <w:rPr>
          <w:rFonts w:ascii="Times New Roman" w:hAnsi="Times New Roman"/>
          <w:color w:val="000000"/>
          <w:sz w:val="22"/>
        </w:rPr>
        <w:t>, with respect to any (i) ABR Loans, a percentage per annum equal to two percent (2.00%) and (ii) Term Benchmark Loans, a percentage per annum equal to three percent (3.00%)</w:t>
      </w:r>
      <w:r>
        <w:rPr>
          <w:rFonts w:ascii="Times New Roman" w:hAnsi="Times New Roman"/>
          <w:strike/>
          <w:color w:val="FF0000"/>
          <w:sz w:val="22"/>
        </w:rPr>
        <w:t>.</w:t>
      </w:r>
      <w:r>
        <w:rPr>
          <w:rFonts w:ascii="Times New Roman" w:hAnsi="Times New Roman"/>
          <w:color w:val="000000"/>
          <w:sz w:val="20"/>
        </w:rPr>
        <w:t xml:space="preserve"> </w:t>
      </w:r>
      <w:r>
        <w:rPr>
          <w:rFonts w:ascii="Times New Roman" w:hAnsi="Times New Roman"/>
          <w:color w:val="0000FF"/>
          <w:sz w:val="22"/>
          <w:u w:val="single"/>
        </w:rPr>
        <w:t>and (y) for any day, commencing on, and after the Second Amendment Effective Date, with respect to any (i) ABR Loans, a percentage per annum equal to two and a quarter percent (2.25%) and (ii) Term Benchmark Loans, a percentage per annum equal to three and a quarter percent (3.25%).</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Approved Electronic Platform</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8.03(a)</w:t>
      </w:r>
      <w:r>
        <w:rPr>
          <w:rFonts w:ascii="Times New Roman" w:hAnsi="Times New Roman"/>
          <w:i/>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Approved Fund</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9.04(b)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Assignment and Assumption</w:t>
      </w:r>
      <w:r>
        <w:rPr>
          <w:rFonts w:ascii="Times New Roman" w:hAnsi="Times New Roman"/>
          <w:color w:val="000000"/>
          <w:sz w:val="20"/>
        </w:rPr>
        <w:t xml:space="preserve">” </w:t>
      </w:r>
      <w:r>
        <w:rPr>
          <w:rFonts w:ascii="Times New Roman" w:hAnsi="Times New Roman"/>
          <w:color w:val="000000"/>
          <w:sz w:val="22"/>
        </w:rPr>
        <w:t xml:space="preserve">means an assignment and assumption agreement entered into by a Lender and an assignee (with the consent of any party whose consent is required by </w:t>
      </w:r>
      <w:r>
        <w:rPr>
          <w:rFonts w:ascii="Times New Roman" w:hAnsi="Times New Roman"/>
          <w:color w:val="000000"/>
          <w:sz w:val="22"/>
          <w:u w:val="single"/>
        </w:rPr>
        <w:t>Section 9.04</w:t>
      </w:r>
      <w:r>
        <w:rPr>
          <w:rFonts w:ascii="Times New Roman" w:hAnsi="Times New Roman"/>
          <w:color w:val="000000"/>
          <w:sz w:val="22"/>
        </w:rPr>
        <w:t xml:space="preserve">), and accepted by the Administrative Agent, in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or any other form (including electronic records generated by the use of an electronic platform) approved by the Administrative Agent and the Borrower.</w:t>
      </w:r>
    </w:p>
    <w:p>
      <w:pPr>
        <w:pStyle w:val="TextBody"/>
        <w:bidi w:val="0"/>
        <w:spacing w:before="0" w:after="240"/>
        <w:jc w:val="both"/>
        <w:rPr/>
      </w:pPr>
      <w:r>
        <w:rPr>
          <w:color w:val="000000"/>
        </w:rPr>
        <w:t>“</w:t>
      </w:r>
      <w:r>
        <w:rPr>
          <w:rFonts w:ascii="Times New Roman" w:hAnsi="Times New Roman"/>
          <w:b/>
          <w:i/>
          <w:color w:val="000000"/>
          <w:sz w:val="22"/>
        </w:rPr>
        <w:t>Augmenting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Availability</w:t>
      </w:r>
      <w:r>
        <w:rPr>
          <w:rFonts w:ascii="Times New Roman" w:hAnsi="Times New Roman"/>
          <w:color w:val="000000"/>
          <w:sz w:val="20"/>
        </w:rPr>
        <w:t xml:space="preserve">” </w:t>
      </w:r>
      <w:r>
        <w:rPr>
          <w:rFonts w:ascii="Times New Roman" w:hAnsi="Times New Roman"/>
          <w:color w:val="000000"/>
          <w:sz w:val="22"/>
        </w:rPr>
        <w:t xml:space="preserve">means an amount equal to (a) the Commitment </w:t>
      </w:r>
      <w:r>
        <w:rPr>
          <w:rFonts w:ascii="Times New Roman" w:hAnsi="Times New Roman"/>
          <w:i/>
          <w:color w:val="000000"/>
          <w:sz w:val="22"/>
          <w:u w:val="single"/>
        </w:rPr>
        <w:t>minus</w:t>
      </w:r>
      <w:r>
        <w:rPr>
          <w:rFonts w:ascii="Times New Roman" w:hAnsi="Times New Roman"/>
          <w:color w:val="000000"/>
          <w:sz w:val="20"/>
        </w:rPr>
        <w:t xml:space="preserve"> </w:t>
      </w:r>
      <w:r>
        <w:rPr>
          <w:rFonts w:ascii="Times New Roman" w:hAnsi="Times New Roman"/>
          <w:color w:val="000000"/>
          <w:sz w:val="22"/>
        </w:rPr>
        <w:t>(b) the Aggregate Credit Exposure (calculated, with respect to any Defaulting Lender, as if such Defaulting Lender had funded its Applicable Percentage of all outstanding Borrowings).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Availability Period</w:t>
      </w:r>
      <w:r>
        <w:rPr>
          <w:rFonts w:ascii="Times New Roman" w:hAnsi="Times New Roman"/>
          <w:color w:val="000000"/>
          <w:sz w:val="20"/>
        </w:rPr>
        <w:t xml:space="preserve">” </w:t>
      </w:r>
      <w:r>
        <w:rPr>
          <w:rFonts w:ascii="Times New Roman" w:hAnsi="Times New Roman"/>
          <w:color w:val="000000"/>
          <w:sz w:val="22"/>
        </w:rPr>
        <w:t>means the period from and including the Effective Date to but excluding the earlier of the Maturity Date and the date of termination of the Commitments.</w:t>
      </w:r>
    </w:p>
    <w:p>
      <w:pPr>
        <w:pStyle w:val="TextBody"/>
        <w:bidi w:val="0"/>
        <w:spacing w:before="0" w:after="240"/>
        <w:jc w:val="both"/>
        <w:rPr/>
      </w:pPr>
      <w:r>
        <w:rPr>
          <w:color w:val="000000"/>
        </w:rPr>
        <w:t>“</w:t>
      </w:r>
      <w:r>
        <w:rPr>
          <w:rFonts w:ascii="Times New Roman" w:hAnsi="Times New Roman"/>
          <w:b/>
          <w:i/>
          <w:color w:val="000000"/>
          <w:sz w:val="22"/>
        </w:rPr>
        <w:t>Available Tenor</w:t>
      </w:r>
      <w:r>
        <w:rPr>
          <w:rFonts w:ascii="Times New Roman" w:hAnsi="Times New Roman"/>
          <w:color w:val="000000"/>
          <w:sz w:val="20"/>
        </w:rPr>
        <w:t xml:space="preserve">” </w:t>
      </w:r>
      <w:r>
        <w:rPr>
          <w:rFonts w:ascii="Times New Roman" w:hAnsi="Times New Roman"/>
          <w:color w:val="000000"/>
          <w:sz w:val="22"/>
        </w:rPr>
        <w:t xml:space="preserve">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br/>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b/>
          <w:i/>
          <w:color w:val="000000"/>
          <w:sz w:val="22"/>
        </w:rPr>
        <w:t>Bail-In Legislation</w:t>
      </w:r>
      <w:r>
        <w:rPr>
          <w:rFonts w:ascii="Times New Roman" w:hAnsi="Times New Roman"/>
          <w:color w:val="000000"/>
          <w:sz w:val="20"/>
        </w:rPr>
        <w:t xml:space="preserve">” </w:t>
      </w:r>
      <w:r>
        <w:rPr>
          <w:rFonts w:ascii="Times New Roman" w:hAnsi="Times New Roman"/>
          <w:color w:val="000000"/>
          <w:sz w:val="22"/>
        </w:rPr>
        <w:t xml:space="preserve">means (a) with respect to any EEA Member Country implementing Article 55 of </w:t>
        <w:br/>
        <w:t>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b/>
          <w:i/>
          <w:color w:val="000000"/>
          <w:sz w:val="22"/>
        </w:rPr>
        <w:t>Banking Services</w:t>
      </w:r>
      <w:r>
        <w:rPr>
          <w:rFonts w:ascii="Times New Roman" w:hAnsi="Times New Roman"/>
          <w:color w:val="000000"/>
          <w:sz w:val="20"/>
        </w:rPr>
        <w:t xml:space="preserve">” </w:t>
      </w:r>
      <w:r>
        <w:rPr>
          <w:rFonts w:ascii="Times New Roman" w:hAnsi="Times New Roman"/>
          <w:color w:val="000000"/>
          <w:sz w:val="22"/>
        </w:rPr>
        <w:t>means each and any of the following bank services provided to any Loan Party or any Subsidiary by any Lender or any of its Affiliates or Texas Capital Bank and/or its Affiliates: (a) ACH transactions, (b) treasury and/or cash management services, including, netting services, controlled disbursement services, depository, overdraft and electronic funds transfer services under any treasury services agreement with any such Lender or its Affiliates, (c) foreign exchange facilities, (d) deposit and other accounts, (e) commercial credit cards, merchant card services, purchase or debit cards, including non card e payables services, or electronic funds transfer services, and (f) merchant services (other than those constituting a line of credit). For the avoidance of doubt, Banking Services do not include Swap Agreement Obligations.</w:t>
      </w:r>
    </w:p>
    <w:p>
      <w:pPr>
        <w:pStyle w:val="TextBody"/>
        <w:bidi w:val="0"/>
        <w:spacing w:before="0" w:after="240"/>
        <w:jc w:val="both"/>
        <w:rPr/>
      </w:pPr>
      <w:r>
        <w:rPr>
          <w:color w:val="000000"/>
        </w:rPr>
        <w:t>“</w:t>
      </w:r>
      <w:r>
        <w:rPr>
          <w:rFonts w:ascii="Times New Roman" w:hAnsi="Times New Roman"/>
          <w:b/>
          <w:i/>
          <w:color w:val="000000"/>
          <w:sz w:val="22"/>
        </w:rPr>
        <w:t>Banking Services Obligations</w:t>
      </w:r>
      <w:r>
        <w:rPr>
          <w:rFonts w:ascii="Times New Roman" w:hAnsi="Times New Roman"/>
          <w:color w:val="000000"/>
          <w:sz w:val="20"/>
        </w:rPr>
        <w:t xml:space="preserve">” </w:t>
      </w:r>
      <w:r>
        <w:rPr>
          <w:rFonts w:ascii="Times New Roman" w:hAnsi="Times New Roman"/>
          <w:color w:val="000000"/>
          <w:sz w:val="22"/>
        </w:rPr>
        <w:t>means any and all obligations of the Loan Parties and their Subsidiaries, whether absolute or contingent and howsoever and whensoever created, arising, evidenced or acquired (including all renewals, extensions and modifications thereof and substitutions therefor) in connection with Banking Services pursuant to a treasury services agreement with any Lender or any of its Affiliates or Texas Capital Bank and/or its Affiliates, and solely to the extent designated by the Borrower and such bank as “Banking Services Obligations” in writing to the Administrative Agent. The designation of any Bank Services Obligations shall not create in favor of such Lender or its Affiliates any rights in connection with the management or release of any Collateral or of the obligations of any Guarantor under the Loan Documents.</w:t>
      </w:r>
    </w:p>
    <w:p>
      <w:pPr>
        <w:pStyle w:val="TextBody"/>
        <w:bidi w:val="0"/>
        <w:spacing w:before="0" w:after="240"/>
        <w:jc w:val="both"/>
        <w:rPr/>
      </w:pPr>
      <w:r>
        <w:rPr>
          <w:color w:val="000000"/>
        </w:rPr>
        <w:t>“</w:t>
      </w:r>
      <w:r>
        <w:rPr>
          <w:rFonts w:ascii="Times New Roman" w:hAnsi="Times New Roman"/>
          <w:b/>
          <w:i/>
          <w:color w:val="000000"/>
          <w:sz w:val="22"/>
        </w:rPr>
        <w:t>Bankruptcy Code</w:t>
      </w:r>
      <w:r>
        <w:rPr>
          <w:rFonts w:ascii="Times New Roman" w:hAnsi="Times New Roman"/>
          <w:color w:val="000000"/>
          <w:sz w:val="20"/>
        </w:rPr>
        <w:t xml:space="preserve">” </w:t>
      </w:r>
      <w:r>
        <w:rPr>
          <w:rFonts w:ascii="Times New Roman" w:hAnsi="Times New Roman"/>
          <w:color w:val="000000"/>
          <w:sz w:val="22"/>
        </w:rPr>
        <w:t>means Title 11 of the United States Code entitled “Bankruptcy”, as now and hereafter in effect, or any successor statute.</w:t>
      </w:r>
    </w:p>
    <w:p>
      <w:pPr>
        <w:pStyle w:val="TextBody"/>
        <w:bidi w:val="0"/>
        <w:spacing w:before="0" w:after="240"/>
        <w:jc w:val="both"/>
        <w:rPr/>
      </w:pPr>
      <w:r>
        <w:rPr>
          <w:color w:val="000000"/>
        </w:rPr>
        <w:t>“</w:t>
      </w:r>
      <w:r>
        <w:rPr>
          <w:rFonts w:ascii="Times New Roman" w:hAnsi="Times New Roman"/>
          <w:b/>
          <w:i/>
          <w:color w:val="000000"/>
          <w:sz w:val="22"/>
        </w:rPr>
        <w:t>Bankruptcy Event</w:t>
      </w:r>
      <w:r>
        <w:rPr>
          <w:rFonts w:ascii="Times New Roman" w:hAnsi="Times New Roman"/>
          <w:color w:val="000000"/>
          <w:sz w:val="20"/>
        </w:rPr>
        <w:t xml:space="preserve">” </w:t>
      </w:r>
      <w:r>
        <w:rPr>
          <w:rFonts w:ascii="Times New Roman" w:hAnsi="Times New Roman"/>
          <w:color w:val="000000"/>
          <w:sz w:val="22"/>
        </w:rPr>
        <w:t>means, with respect to any Person, such Person becomes the subject of a voluntary or involuntary bankruptcy or insolvency proceeding, or has had a receiver, conservator, trustee, administrator, custodian, assignee for the benefit of creditors or similar Person charged with the</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hAnsi="Times New Roman"/>
          <w:i/>
          <w:color w:val="000000"/>
          <w:sz w:val="22"/>
        </w:rPr>
        <w:t xml:space="preserve">provided </w:t>
      </w:r>
      <w:r>
        <w:rPr>
          <w:rFonts w:ascii="Times New Roman" w:hAnsi="Times New Roman"/>
          <w:color w:val="000000"/>
          <w:sz w:val="22"/>
        </w:rPr>
        <w:t>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240"/>
        <w:jc w:val="both"/>
        <w:rPr/>
      </w:pPr>
      <w:r>
        <w:rPr>
          <w:color w:val="000000"/>
        </w:rPr>
        <w:t>“</w:t>
      </w:r>
      <w:r>
        <w:rPr>
          <w:rFonts w:ascii="Times New Roman" w:hAnsi="Times New Roman"/>
          <w:b/>
          <w:i/>
          <w:color w:val="000000"/>
          <w:sz w:val="22"/>
        </w:rPr>
        <w:t>Benchmark</w:t>
      </w:r>
      <w:r>
        <w:rPr>
          <w:rFonts w:ascii="Times New Roman" w:hAnsi="Times New Roman"/>
          <w:color w:val="000000"/>
          <w:sz w:val="20"/>
        </w:rPr>
        <w:t xml:space="preserve">” </w:t>
      </w:r>
      <w:r>
        <w:rPr>
          <w:rFonts w:ascii="Times New Roman" w:hAnsi="Times New Roman"/>
          <w:color w:val="000000"/>
          <w:sz w:val="22"/>
        </w:rPr>
        <w:t xml:space="preserve">means, initially, with respect to any (i) RFR Loan, the Daily Simple SOFR or (ii) Term Benchmark Loan, the Term SOFR Rate; </w:t>
      </w:r>
      <w:r>
        <w:rPr>
          <w:rFonts w:ascii="Times New Roman" w:hAnsi="Times New Roman"/>
          <w:i/>
          <w:color w:val="000000"/>
          <w:sz w:val="22"/>
        </w:rPr>
        <w:t xml:space="preserve">provided </w:t>
      </w:r>
      <w:r>
        <w:rPr>
          <w:rFonts w:ascii="Times New Roman" w:hAnsi="Times New Roman"/>
          <w:color w:val="000000"/>
          <w:sz w:val="22"/>
        </w:rPr>
        <w:t xml:space="preserve">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Benchmark Replacement</w:t>
      </w:r>
      <w:r>
        <w:rPr>
          <w:rFonts w:ascii="Times New Roman" w:hAnsi="Times New Roman"/>
          <w:color w:val="000000"/>
          <w:sz w:val="20"/>
        </w:rPr>
        <w:t xml:space="preserve">” </w:t>
      </w:r>
      <w:r>
        <w:rPr>
          <w:rFonts w:ascii="Times New Roman" w:hAnsi="Times New Roman"/>
          <w:color w:val="000000"/>
          <w:sz w:val="22"/>
        </w:rPr>
        <w:t>means, for any Available Tenor, the first alternative set forth in the order below that can be determined by the Administrative Agent for the applicable Benchmark Replacement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Adjusted Daily Simple SOFR;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b/>
          <w:i/>
          <w:color w:val="000000"/>
          <w:sz w:val="22"/>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jc w:val="both"/>
        <w:rPr/>
      </w:pPr>
      <w:r>
        <w:rPr>
          <w:color w:val="000000"/>
        </w:rPr>
        <w:t>“</w:t>
      </w:r>
      <w:r>
        <w:rPr>
          <w:rFonts w:ascii="Times New Roman" w:hAnsi="Times New Roman"/>
          <w:b/>
          <w:i/>
          <w:color w:val="000000"/>
          <w:sz w:val="22"/>
        </w:rPr>
        <w:t>Benchmark Replacement Conforming Changes</w:t>
      </w:r>
      <w:r>
        <w:rPr>
          <w:rFonts w:ascii="Times New Roman" w:hAnsi="Times New Roman"/>
          <w:color w:val="000000"/>
          <w:sz w:val="20"/>
        </w:rPr>
        <w:t xml:space="preserve">” </w:t>
      </w:r>
      <w:r>
        <w:rPr>
          <w:rFonts w:ascii="Times New Roman" w:hAnsi="Times New Roman"/>
          <w:color w:val="000000"/>
          <w:sz w:val="22"/>
        </w:rPr>
        <w:t>means, with respect to any Benchmark Replacement and/or any Term Benchmark Revolving Loan, any technical, administrative or operational</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and the Borrower decide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and the Borrower determine that no market practice for the administration of such Benchmark exists, in such other manner of administration as the Administrative Agent and the Borrower decide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b/>
          <w:i/>
          <w:color w:val="000000"/>
          <w:sz w:val="22"/>
        </w:rPr>
        <w:t>Benchmark Replacement Date</w:t>
      </w:r>
      <w:r>
        <w:rPr>
          <w:rFonts w:ascii="Times New Roman" w:hAnsi="Times New Roman"/>
          <w:color w:val="000000"/>
          <w:sz w:val="20"/>
        </w:rPr>
        <w:t xml:space="preserve">” </w:t>
      </w:r>
      <w:r>
        <w:rPr>
          <w:rFonts w:ascii="Times New Roman" w:hAnsi="Times New Roman"/>
          <w:color w:val="000000"/>
          <w:sz w:val="22"/>
        </w:rPr>
        <w:t>means, with respect to any Benchmark, the earliest to occur of the following events with respect to such then-current Benchmark: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hAnsi="Times New Roman"/>
          <w:i/>
          <w:color w:val="000000"/>
          <w:sz w:val="22"/>
        </w:rPr>
        <w:t>provided</w:t>
      </w:r>
      <w:r>
        <w:rPr>
          <w:rFonts w:ascii="Times New Roman" w:hAnsi="Times New Roman"/>
          <w:color w:val="000000"/>
          <w:sz w:val="22"/>
        </w:rPr>
        <w:t>,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i/>
          <w:color w:val="000000"/>
          <w:sz w:val="22"/>
        </w:rPr>
        <w:t>Benchmark Transition Event</w:t>
      </w:r>
      <w:r>
        <w:rPr>
          <w:rFonts w:ascii="Times New Roman" w:hAnsi="Times New Roman"/>
          <w:color w:val="000000"/>
          <w:sz w:val="20"/>
        </w:rPr>
        <w:t xml:space="preserve">” </w:t>
      </w:r>
      <w:r>
        <w:rPr>
          <w:rFonts w:ascii="Times New Roman" w:hAnsi="Times New Roman"/>
          <w:color w:val="000000"/>
          <w:sz w:val="22"/>
        </w:rPr>
        <w:t>means, with respect to any Benchmark, the occurrence of one or more of the following events with respect to such then-current Benchmark: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color w:val="000000"/>
          <w:sz w:val="22"/>
        </w:rPr>
        <w:t xml:space="preserve">provided </w:t>
      </w:r>
      <w:r>
        <w:rPr>
          <w:rFonts w:ascii="Times New Roman" w:hAnsi="Times New Roman"/>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i/>
          <w:color w:val="000000"/>
          <w:sz w:val="22"/>
        </w:rPr>
        <w:t xml:space="preserve">provided </w:t>
      </w:r>
      <w:r>
        <w:rPr>
          <w:rFonts w:ascii="Times New Roman" w:hAnsi="Times New Roman"/>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i/>
          <w:color w:val="000000"/>
          <w:sz w:val="22"/>
        </w:rPr>
        <w:t>Benchmark Unavailability Period</w:t>
      </w:r>
      <w:r>
        <w:rPr>
          <w:rFonts w:ascii="Times New Roman" w:hAnsi="Times New Roman"/>
          <w:color w:val="000000"/>
          <w:sz w:val="20"/>
        </w:rPr>
        <w:t xml:space="preserve">” </w:t>
      </w:r>
      <w:r>
        <w:rPr>
          <w:rFonts w:ascii="Times New Roman" w:hAnsi="Times New Roman"/>
          <w:color w:val="000000"/>
          <w:sz w:val="22"/>
        </w:rPr>
        <w:t xml:space="preserve">means, with respect to any Benchmark, the period (if any) (x) beginning at the time that a Benchmark Replacement Date pursuant to clause (a) or (b) of that definition has occurred if, at such time, no Benchmark Replacement has replaced such then-current Benchmark for all purposes hereunder and under any Loan Document in accordance with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and (y) ending at the time that a Benchmark Replacement has replaced such then-current Benchmark for all purposes hereunder and under any Loan Document in accordance with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Beneficial Ownership Certification</w:t>
      </w:r>
      <w:r>
        <w:rPr>
          <w:rFonts w:ascii="Times New Roman" w:hAnsi="Times New Roman"/>
          <w:color w:val="000000"/>
          <w:sz w:val="20"/>
        </w:rPr>
        <w:t xml:space="preserve">” </w:t>
      </w:r>
      <w:r>
        <w:rPr>
          <w:rFonts w:ascii="Times New Roman" w:hAnsi="Times New Roman"/>
          <w:color w:val="000000"/>
          <w:sz w:val="22"/>
        </w:rPr>
        <w:t>means a certification regarding beneficial ownership or control as required by the Beneficial Ownership Regulation.</w:t>
      </w:r>
    </w:p>
    <w:p>
      <w:pPr>
        <w:pStyle w:val="TextBody"/>
        <w:bidi w:val="0"/>
        <w:spacing w:before="0" w:after="240"/>
        <w:jc w:val="both"/>
        <w:rPr/>
      </w:pPr>
      <w:r>
        <w:rPr>
          <w:color w:val="000000"/>
        </w:rPr>
        <w:t>“</w:t>
      </w:r>
      <w:r>
        <w:rPr>
          <w:rFonts w:ascii="Times New Roman" w:hAnsi="Times New Roman"/>
          <w:b/>
          <w:i/>
          <w:color w:val="000000"/>
          <w:sz w:val="22"/>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spacing w:before="0" w:after="240"/>
        <w:jc w:val="both"/>
        <w:rPr/>
      </w:pPr>
      <w:r>
        <w:rPr>
          <w:color w:val="000000"/>
        </w:rPr>
        <w:t>“</w:t>
      </w:r>
      <w:r>
        <w:rPr>
          <w:rFonts w:ascii="Times New Roman" w:hAnsi="Times New Roman"/>
          <w:b/>
          <w:i/>
          <w:color w:val="000000"/>
          <w:sz w:val="22"/>
        </w:rPr>
        <w:t>Benefit Plan</w:t>
      </w:r>
      <w:r>
        <w:rPr>
          <w:rFonts w:ascii="Times New Roman" w:hAnsi="Times New Roman"/>
          <w:color w:val="000000"/>
          <w:sz w:val="20"/>
        </w:rPr>
        <w:t xml:space="preserve">” </w:t>
      </w:r>
      <w:r>
        <w:rPr>
          <w:rFonts w:ascii="Times New Roman" w:hAnsi="Times New Roman"/>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b/>
          <w:i/>
          <w:color w:val="000000"/>
          <w:sz w:val="22"/>
        </w:rPr>
        <w:t>Bertram Property</w:t>
      </w:r>
      <w:r>
        <w:rPr>
          <w:rFonts w:ascii="Times New Roman" w:hAnsi="Times New Roman"/>
          <w:color w:val="000000"/>
          <w:sz w:val="20"/>
        </w:rPr>
        <w:t xml:space="preserve">” </w:t>
      </w:r>
      <w:r>
        <w:rPr>
          <w:rFonts w:ascii="Times New Roman" w:hAnsi="Times New Roman"/>
          <w:color w:val="000000"/>
          <w:sz w:val="22"/>
        </w:rPr>
        <w:t>means the real property located at 281 CR 210, Bertram, TX 78605.</w:t>
      </w:r>
    </w:p>
    <w:p>
      <w:pPr>
        <w:pStyle w:val="TextBody"/>
        <w:bidi w:val="0"/>
        <w:spacing w:before="0" w:after="240"/>
        <w:jc w:val="both"/>
        <w:rPr/>
      </w:pPr>
      <w:r>
        <w:rPr>
          <w:color w:val="000000"/>
        </w:rPr>
        <w:t>“</w:t>
      </w:r>
      <w:r>
        <w:rPr>
          <w:rFonts w:ascii="Times New Roman" w:hAnsi="Times New Roman"/>
          <w:b/>
          <w:i/>
          <w:color w:val="000000"/>
          <w:sz w:val="22"/>
        </w:rPr>
        <w:t>BHC Act Affiliate</w:t>
      </w:r>
      <w:r>
        <w:rPr>
          <w:rFonts w:ascii="Times New Roman" w:hAnsi="Times New Roman"/>
          <w:color w:val="000000"/>
          <w:sz w:val="20"/>
        </w:rPr>
        <w:t xml:space="preserve">” </w:t>
      </w:r>
      <w:r>
        <w:rPr>
          <w:rFonts w:ascii="Times New Roman" w:hAnsi="Times New Roman"/>
          <w:color w:val="000000"/>
          <w:sz w:val="22"/>
        </w:rPr>
        <w:t>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b/>
          <w:i/>
          <w:color w:val="000000"/>
          <w:sz w:val="22"/>
        </w:rPr>
        <w:t>Board</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 of America.</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Borrower</w:t>
      </w:r>
      <w:r>
        <w:rPr>
          <w:rFonts w:ascii="Times New Roman" w:hAnsi="Times New Roman"/>
          <w:color w:val="000000"/>
          <w:sz w:val="20"/>
        </w:rPr>
        <w:t xml:space="preserve">” </w:t>
      </w:r>
      <w:r>
        <w:rPr>
          <w:rFonts w:ascii="Times New Roman" w:hAnsi="Times New Roman"/>
          <w:color w:val="000000"/>
          <w:sz w:val="22"/>
        </w:rPr>
        <w:t>means Firefly Aerospace Inc., a Delaware corporation.</w:t>
      </w:r>
    </w:p>
    <w:p>
      <w:pPr>
        <w:pStyle w:val="TextBody"/>
        <w:bidi w:val="0"/>
        <w:spacing w:before="0" w:after="240"/>
        <w:jc w:val="both"/>
        <w:rPr/>
      </w:pPr>
      <w:r>
        <w:rPr>
          <w:color w:val="000000"/>
        </w:rPr>
        <w:t>“</w:t>
      </w:r>
      <w:r>
        <w:rPr>
          <w:rFonts w:ascii="Times New Roman" w:hAnsi="Times New Roman"/>
          <w:b/>
          <w:i/>
          <w:color w:val="000000"/>
          <w:sz w:val="22"/>
        </w:rPr>
        <w:t>Borrowing</w:t>
      </w:r>
      <w:r>
        <w:rPr>
          <w:rFonts w:ascii="Times New Roman" w:hAnsi="Times New Roman"/>
          <w:color w:val="000000"/>
          <w:sz w:val="20"/>
        </w:rPr>
        <w:t xml:space="preserve">” </w:t>
      </w:r>
      <w:r>
        <w:rPr>
          <w:rFonts w:ascii="Times New Roman" w:hAnsi="Times New Roman"/>
          <w:color w:val="000000"/>
          <w:sz w:val="22"/>
        </w:rPr>
        <w:t>means (a) Revolving Borrowing or (b) a Swingline Borrowing.</w:t>
      </w:r>
    </w:p>
    <w:p>
      <w:pPr>
        <w:pStyle w:val="TextBody"/>
        <w:bidi w:val="0"/>
        <w:spacing w:before="0" w:after="240"/>
        <w:jc w:val="both"/>
        <w:rPr/>
      </w:pPr>
      <w:r>
        <w:rPr>
          <w:color w:val="000000"/>
        </w:rPr>
        <w:t>“</w:t>
      </w:r>
      <w:r>
        <w:rPr>
          <w:rFonts w:ascii="Times New Roman" w:hAnsi="Times New Roman"/>
          <w:b/>
          <w:i/>
          <w:color w:val="000000"/>
          <w:sz w:val="22"/>
        </w:rPr>
        <w:t>Borrowing Request</w:t>
      </w:r>
      <w:r>
        <w:rPr>
          <w:rFonts w:ascii="Times New Roman" w:hAnsi="Times New Roman"/>
          <w:color w:val="000000"/>
          <w:sz w:val="20"/>
        </w:rPr>
        <w:t xml:space="preserve">” </w:t>
      </w:r>
      <w:r>
        <w:rPr>
          <w:rFonts w:ascii="Times New Roman" w:hAnsi="Times New Roman"/>
          <w:color w:val="000000"/>
          <w:sz w:val="22"/>
        </w:rPr>
        <w:t xml:space="preserve">means a request by the Borrower for a Revolving Borrowing in accordance with </w:t>
      </w:r>
      <w:r>
        <w:rPr>
          <w:rFonts w:ascii="Times New Roman" w:hAnsi="Times New Roman"/>
          <w:color w:val="000000"/>
          <w:sz w:val="22"/>
          <w:u w:val="single"/>
        </w:rPr>
        <w:t>Section 2.03</w:t>
      </w:r>
      <w:r>
        <w:rPr>
          <w:rFonts w:ascii="Times New Roman" w:hAnsi="Times New Roman"/>
          <w:color w:val="000000"/>
          <w:sz w:val="22"/>
        </w:rPr>
        <w:t>, which shall be substantially in the form approved by the Administrative Agent and separately provided to the Borrower.</w:t>
      </w:r>
    </w:p>
    <w:p>
      <w:pPr>
        <w:pStyle w:val="TextBody"/>
        <w:bidi w:val="0"/>
        <w:spacing w:before="0" w:after="240"/>
        <w:jc w:val="both"/>
        <w:rPr/>
      </w:pPr>
      <w:r>
        <w:rPr>
          <w:color w:val="000000"/>
        </w:rPr>
        <w:t>“</w:t>
      </w:r>
      <w:r>
        <w:rPr>
          <w:rFonts w:ascii="Times New Roman" w:hAnsi="Times New Roman"/>
          <w:b/>
          <w:i/>
          <w:color w:val="000000"/>
          <w:sz w:val="22"/>
        </w:rPr>
        <w:t>Business Day</w:t>
      </w:r>
      <w:r>
        <w:rPr>
          <w:rFonts w:ascii="Times New Roman" w:hAnsi="Times New Roman"/>
          <w:color w:val="000000"/>
          <w:sz w:val="20"/>
        </w:rPr>
        <w:t xml:space="preserve">” </w:t>
      </w:r>
      <w:r>
        <w:rPr>
          <w:rFonts w:ascii="Times New Roman" w:hAnsi="Times New Roman"/>
          <w:color w:val="000000"/>
          <w:sz w:val="22"/>
        </w:rPr>
        <w:t xml:space="preserve">means any day (other than a Saturday or a Sunday) on which banks are open for business in New York City; </w:t>
      </w:r>
      <w:r>
        <w:rPr>
          <w:rFonts w:ascii="Times New Roman" w:hAnsi="Times New Roman"/>
          <w:i/>
          <w:color w:val="000000"/>
          <w:sz w:val="22"/>
        </w:rPr>
        <w:t xml:space="preserve">provided </w:t>
      </w:r>
      <w:r>
        <w:rPr>
          <w:rFonts w:ascii="Times New Roman" w:hAnsi="Times New Roman"/>
          <w:color w:val="000000"/>
          <w:sz w:val="22"/>
        </w:rPr>
        <w:t>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pStyle w:val="TextBody"/>
        <w:bidi w:val="0"/>
        <w:spacing w:before="0" w:after="240"/>
        <w:jc w:val="both"/>
        <w:rPr/>
      </w:pPr>
      <w:r>
        <w:rPr>
          <w:color w:val="000000"/>
        </w:rPr>
        <w:t>“</w:t>
      </w:r>
      <w:r>
        <w:rPr>
          <w:rFonts w:ascii="Times New Roman" w:hAnsi="Times New Roman"/>
          <w:b/>
          <w:i/>
          <w:color w:val="000000"/>
          <w:sz w:val="22"/>
        </w:rPr>
        <w:t>Capital Lease Obligations</w:t>
      </w:r>
      <w:r>
        <w:rPr>
          <w:rFonts w:ascii="Times New Roman" w:hAnsi="Times New Roman"/>
          <w:color w:val="000000"/>
          <w:sz w:val="20"/>
        </w:rPr>
        <w:t xml:space="preserve">” </w:t>
      </w:r>
      <w:r>
        <w:rPr>
          <w:rFonts w:ascii="Times New Roman" w:hAnsi="Times New Roman"/>
          <w:color w:val="000000"/>
          <w:sz w:val="22"/>
        </w:rPr>
        <w:t xml:space="preserve">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(subject to, for the avoidance of doubt, </w:t>
      </w:r>
      <w:r>
        <w:rPr>
          <w:rFonts w:ascii="Times New Roman" w:hAnsi="Times New Roman"/>
          <w:color w:val="000000"/>
          <w:sz w:val="22"/>
          <w:u w:val="single"/>
        </w:rPr>
        <w:t>Section 1.04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CFC</w:t>
      </w:r>
      <w:r>
        <w:rPr>
          <w:rFonts w:ascii="Times New Roman" w:hAnsi="Times New Roman"/>
          <w:color w:val="000000"/>
          <w:sz w:val="20"/>
        </w:rPr>
        <w:t xml:space="preserve">” </w:t>
      </w:r>
      <w:r>
        <w:rPr>
          <w:rFonts w:ascii="Times New Roman" w:hAnsi="Times New Roman"/>
          <w:color w:val="000000"/>
          <w:sz w:val="22"/>
        </w:rPr>
        <w:t>means a Foreign Subsidiary that is a “controlled foreign corporation” (as defined in Section 957(a) of the Code).</w:t>
      </w:r>
    </w:p>
    <w:p>
      <w:pPr>
        <w:pStyle w:val="TextBody"/>
        <w:bidi w:val="0"/>
        <w:spacing w:before="0" w:after="240"/>
        <w:jc w:val="both"/>
        <w:rPr/>
      </w:pPr>
      <w:r>
        <w:rPr>
          <w:color w:val="000000"/>
        </w:rPr>
        <w:t>“</w:t>
      </w:r>
      <w:r>
        <w:rPr>
          <w:rFonts w:ascii="Times New Roman" w:hAnsi="Times New Roman"/>
          <w:b/>
          <w:i/>
          <w:color w:val="000000"/>
          <w:sz w:val="22"/>
        </w:rPr>
        <w:t>Change in Control</w:t>
      </w:r>
      <w:r>
        <w:rPr>
          <w:rFonts w:ascii="Times New Roman" w:hAnsi="Times New Roman"/>
          <w:color w:val="000000"/>
          <w:sz w:val="20"/>
        </w:rPr>
        <w:t xml:space="preserve">” </w:t>
      </w:r>
      <w:r>
        <w:rPr>
          <w:rFonts w:ascii="Times New Roman" w:hAnsi="Times New Roman"/>
          <w:color w:val="000000"/>
          <w:sz w:val="22"/>
        </w:rPr>
        <w:t>means any person or “group” (within the meaning of Rules 13d-3 and 13d-5 under the Exchange Act as in effect on the Effective Date), but excluding (x) any employee benefit plan of such person and its Subsidiaries and any Person or entity acting in its capacity as trustee, agent or other fiduciary or administrator of any such plan, and (y) the Permitted Holder, shall have, directly or indirectly, acquired beneficial ownership of Equity Interests representing 40% or more of the aggregate voting power represented by the issued and outstanding Equity Interests of the Borrower and the Permitted Holder shall own, directly or indirectly, less than such person or “group” of the aggregate voting power represented by the issued and outstanding Equity Interests of the Borrower; provided that a transaction will not be considered to be a Change of Control if the Borrower or any Parent Entity is acquired by one or more direct or indirect parent companies (a “</w:t>
      </w:r>
      <w:r>
        <w:rPr>
          <w:rFonts w:ascii="Times New Roman" w:hAnsi="Times New Roman"/>
          <w:b/>
          <w:i/>
          <w:color w:val="000000"/>
          <w:sz w:val="22"/>
        </w:rPr>
        <w:t>Parent Entity</w:t>
      </w:r>
      <w:r>
        <w:rPr>
          <w:rFonts w:ascii="Times New Roman" w:hAnsi="Times New Roman"/>
          <w:color w:val="000000"/>
          <w:sz w:val="20"/>
        </w:rPr>
        <w:t>”</w:t>
      </w:r>
      <w:r>
        <w:rPr>
          <w:rFonts w:ascii="Times New Roman" w:hAnsi="Times New Roman"/>
          <w:color w:val="000000"/>
          <w:sz w:val="22"/>
        </w:rPr>
        <w:t>) so long as no person or “group” (other than a person or “group” described under clause (x) or (y) above) shall have, directly or indirectly, acquired beneficial ownership of Equity Interests representing 40% or more of the aggregate voting power represented by the issued and outstanding Equity Interests of such Parent Entity and the Permitted Holder shall own, directly or indirectly, less than such person or “group” of the aggregate voting power represented by the issued and outstanding Equity Interests of such Parent Entity.</w:t>
      </w:r>
    </w:p>
    <w:p>
      <w:pPr>
        <w:pStyle w:val="TextBody"/>
        <w:bidi w:val="0"/>
        <w:spacing w:before="0" w:after="240"/>
        <w:jc w:val="both"/>
        <w:rPr/>
      </w:pPr>
      <w:r>
        <w:rPr>
          <w:color w:val="000000"/>
        </w:rPr>
        <w:t>“</w:t>
      </w:r>
      <w:r>
        <w:rPr>
          <w:rFonts w:ascii="Times New Roman" w:hAnsi="Times New Roman"/>
          <w:b/>
          <w:i/>
          <w:color w:val="000000"/>
          <w:sz w:val="22"/>
        </w:rPr>
        <w:t>Change in Law</w:t>
      </w:r>
      <w:r>
        <w:rPr>
          <w:rFonts w:ascii="Times New Roman" w:hAnsi="Times New Roman"/>
          <w:color w:val="000000"/>
          <w:sz w:val="20"/>
        </w:rPr>
        <w:t xml:space="preserve">” </w:t>
      </w:r>
      <w:r>
        <w:rPr>
          <w:rFonts w:ascii="Times New Roman" w:hAnsi="Times New Roman"/>
          <w:color w:val="000000"/>
          <w:sz w:val="22"/>
        </w:rPr>
        <w:t xml:space="preserve">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w:t>
      </w:r>
      <w:r>
        <w:rPr>
          <w:rFonts w:ascii="Times New Roman" w:hAnsi="Times New Roman"/>
          <w:color w:val="000000"/>
          <w:sz w:val="22"/>
          <w:u w:val="single"/>
        </w:rPr>
        <w:t>Section 2.15(b)</w:t>
      </w:r>
      <w:r>
        <w:rPr>
          <w:rFonts w:ascii="Times New Roman" w:hAnsi="Times New Roman"/>
          <w:color w:val="000000"/>
          <w:sz w:val="22"/>
        </w:rPr>
        <w:t xml:space="preserve">, by any lending office of such Lender or by such Lender’s or Issuing Bank’s holding company, if any) with any request, guideline or directive (whether or not having the force of law) of any Governmental Authority made or issued after the date of this Agreement; </w:t>
      </w:r>
      <w:r>
        <w:rPr>
          <w:rFonts w:ascii="Times New Roman" w:hAnsi="Times New Roman"/>
          <w:i/>
          <w:color w:val="000000"/>
          <w:sz w:val="22"/>
        </w:rPr>
        <w:t xml:space="preserve">provided </w:t>
      </w:r>
      <w:r>
        <w:rPr>
          <w:rFonts w:ascii="Times New Roman" w:hAnsi="Times New Roman"/>
          <w:color w:val="000000"/>
          <w:sz w:val="22"/>
        </w:rPr>
        <w:t>that, notwithstanding anything herein to the contrary, (x) the Dodd-Frank Wall Street Reform and Consumer Protection Act and all requests, rules, guidelines or directives thereunder or issued in connection therewith or in the implementation thereof, and (y) all requests, rules,</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guidelines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pStyle w:val="TextBody"/>
        <w:bidi w:val="0"/>
        <w:spacing w:before="0" w:after="240"/>
        <w:jc w:val="both"/>
        <w:rPr/>
      </w:pPr>
      <w:r>
        <w:rPr>
          <w:color w:val="000000"/>
        </w:rPr>
        <w:t>“</w:t>
      </w:r>
      <w:r>
        <w:rPr>
          <w:rFonts w:ascii="Times New Roman" w:hAnsi="Times New Roman"/>
          <w:b/>
          <w:i/>
          <w:color w:val="000000"/>
          <w:sz w:val="22"/>
        </w:rPr>
        <w:t>Charges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Class</w:t>
      </w:r>
      <w:r>
        <w:rPr>
          <w:rFonts w:ascii="Times New Roman" w:hAnsi="Times New Roman"/>
          <w:color w:val="000000"/>
          <w:sz w:val="20"/>
        </w:rPr>
        <w:t xml:space="preserve">” </w:t>
      </w:r>
      <w:r>
        <w:rPr>
          <w:rFonts w:ascii="Times New Roman" w:hAnsi="Times New Roman"/>
          <w:color w:val="000000"/>
          <w:sz w:val="22"/>
        </w:rPr>
        <w:t>when used in reference to any Loan or Borrowing, refers to whether such Loan, or the Loans comprising such Borrowing, are Revolving Loans or Swingline Loans.</w:t>
      </w:r>
    </w:p>
    <w:p>
      <w:pPr>
        <w:pStyle w:val="TextBody"/>
        <w:bidi w:val="0"/>
        <w:spacing w:before="0" w:after="240"/>
        <w:jc w:val="both"/>
        <w:rPr/>
      </w:pPr>
      <w:r>
        <w:rPr>
          <w:color w:val="000000"/>
        </w:rPr>
        <w:t>“</w:t>
      </w:r>
      <w:r>
        <w:rPr>
          <w:rFonts w:ascii="Times New Roman" w:hAnsi="Times New Roman"/>
          <w:b/>
          <w:i/>
          <w:color w:val="000000"/>
          <w:sz w:val="22"/>
        </w:rPr>
        <w:t>CME Term 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as administrator of the forward-looking term SOFR (or a successor administrator).</w:t>
      </w:r>
    </w:p>
    <w:p>
      <w:pPr>
        <w:pStyle w:val="TextBody"/>
        <w:bidi w:val="0"/>
        <w:spacing w:before="0" w:after="24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b/>
          <w:i/>
          <w:color w:val="000000"/>
          <w:sz w:val="22"/>
        </w:rPr>
        <w:t>Collateral</w:t>
      </w:r>
      <w:r>
        <w:rPr>
          <w:rFonts w:ascii="Times New Roman" w:hAnsi="Times New Roman"/>
          <w:color w:val="000000"/>
          <w:sz w:val="20"/>
        </w:rPr>
        <w:t xml:space="preserve">” </w:t>
      </w:r>
      <w:r>
        <w:rPr>
          <w:rFonts w:ascii="Times New Roman" w:hAnsi="Times New Roman"/>
          <w:color w:val="000000"/>
          <w:sz w:val="22"/>
        </w:rPr>
        <w:t xml:space="preserve">means any and all property, now existing or hereafter acquired, that may at any time be, become or be intended to be, subject to a security interest or Lien in favor of the Administrative Agent, on behalf of itself and other Secured Parties pursuant to the Collateral Documents, to secure the Secured Obligations; </w:t>
      </w:r>
      <w:r>
        <w:rPr>
          <w:rFonts w:ascii="Times New Roman" w:hAnsi="Times New Roman"/>
          <w:i/>
          <w:color w:val="000000"/>
          <w:sz w:val="22"/>
        </w:rPr>
        <w:t xml:space="preserve">provided </w:t>
      </w:r>
      <w:r>
        <w:rPr>
          <w:rFonts w:ascii="Times New Roman" w:hAnsi="Times New Roman"/>
          <w:color w:val="000000"/>
          <w:sz w:val="22"/>
        </w:rPr>
        <w:t>that Collateral shall not include any Excluded Property.</w:t>
      </w:r>
    </w:p>
    <w:p>
      <w:pPr>
        <w:pStyle w:val="TextBody"/>
        <w:bidi w:val="0"/>
        <w:spacing w:before="0" w:after="240"/>
        <w:jc w:val="both"/>
        <w:rPr/>
      </w:pPr>
      <w:r>
        <w:rPr>
          <w:color w:val="000000"/>
        </w:rPr>
        <w:t>“</w:t>
      </w:r>
      <w:r>
        <w:rPr>
          <w:rFonts w:ascii="Times New Roman" w:hAnsi="Times New Roman"/>
          <w:b/>
          <w:i/>
          <w:color w:val="000000"/>
          <w:sz w:val="22"/>
        </w:rPr>
        <w:t>Collateral Documents</w:t>
      </w:r>
      <w:r>
        <w:rPr>
          <w:rFonts w:ascii="Times New Roman" w:hAnsi="Times New Roman"/>
          <w:color w:val="000000"/>
          <w:sz w:val="20"/>
        </w:rPr>
        <w:t xml:space="preserve">” </w:t>
      </w:r>
      <w:r>
        <w:rPr>
          <w:rFonts w:ascii="Times New Roman" w:hAnsi="Times New Roman"/>
          <w:color w:val="000000"/>
          <w:sz w:val="22"/>
        </w:rPr>
        <w:t>means, collectively, the Security Agreement, the Control Account Agreements and all other agreements, instruments and documents executed pursuant to this Agreement that are intended to create, perfect or evidence Liens to secure the Secured Obligations, including, all other security agreements, pledge agreements, security agreements, mortgages, deeds of trust, guarantees, subordination agreements (including any Acceptable Subordination or Intercreditor Agreement), whether heretofore, now or hereafter executed by any Loan Party and delivered to the Administrative Agent.</w:t>
      </w:r>
    </w:p>
    <w:p>
      <w:pPr>
        <w:pStyle w:val="TextBody"/>
        <w:bidi w:val="0"/>
        <w:spacing w:before="0" w:after="240"/>
        <w:jc w:val="both"/>
        <w:rPr/>
      </w:pPr>
      <w:r>
        <w:rPr>
          <w:color w:val="000000"/>
        </w:rPr>
        <w:t>“</w:t>
      </w:r>
      <w:r>
        <w:rPr>
          <w:rFonts w:ascii="Times New Roman" w:hAnsi="Times New Roman"/>
          <w:b/>
          <w:i/>
          <w:color w:val="000000"/>
          <w:sz w:val="22"/>
        </w:rPr>
        <w:t>Commitment</w:t>
      </w:r>
      <w:r>
        <w:rPr>
          <w:rFonts w:ascii="Times New Roman" w:hAnsi="Times New Roman"/>
          <w:color w:val="000000"/>
          <w:sz w:val="20"/>
        </w:rPr>
        <w:t xml:space="preserve">” </w:t>
      </w:r>
      <w:r>
        <w:rPr>
          <w:rFonts w:ascii="Times New Roman" w:hAnsi="Times New Roman"/>
          <w:color w:val="000000"/>
          <w:sz w:val="22"/>
        </w:rPr>
        <w:t xml:space="preserve">means, with respect to each Lender, the amount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opposite such Lender’s name, or in the Assignment and Assumption or other documentation or record (as such term is defined in Section 9-102(a) (70) of the New York Uniform Commercial Code) as provided in </w:t>
      </w:r>
      <w:r>
        <w:rPr>
          <w:rFonts w:ascii="Times New Roman" w:hAnsi="Times New Roman"/>
          <w:color w:val="000000"/>
          <w:sz w:val="22"/>
          <w:u w:val="single"/>
        </w:rPr>
        <w:t>Section 9.04</w:t>
      </w:r>
      <w:r>
        <w:rPr>
          <w:rFonts w:ascii="Times New Roman" w:hAnsi="Times New Roman"/>
          <w:color w:val="000000"/>
          <w:sz w:val="22"/>
        </w:rPr>
        <w:t>(</w:t>
      </w:r>
      <w:r>
        <w:rPr>
          <w:rFonts w:ascii="Times New Roman" w:hAnsi="Times New Roman"/>
          <w:color w:val="000000"/>
          <w:sz w:val="22"/>
          <w:u w:val="single"/>
        </w:rPr>
        <w:t>b)(ii)(3)</w:t>
      </w:r>
      <w:r>
        <w:rPr>
          <w:rFonts w:ascii="Times New Roman" w:hAnsi="Times New Roman"/>
          <w:color w:val="000000"/>
          <w:sz w:val="22"/>
        </w:rPr>
        <w:t xml:space="preserve">, pursuant to which such Lender shall have assumed its Commitment, as applicable, and giving effect to (a) any reduction in such amount from time to time pursuant to </w:t>
      </w:r>
      <w:r>
        <w:rPr>
          <w:rFonts w:ascii="Times New Roman" w:hAnsi="Times New Roman"/>
          <w:color w:val="000000"/>
          <w:sz w:val="22"/>
          <w:u w:val="single"/>
        </w:rPr>
        <w:t>Section 2.09</w:t>
      </w:r>
      <w:r>
        <w:rPr>
          <w:rFonts w:ascii="Times New Roman" w:hAnsi="Times New Roman"/>
          <w:color w:val="000000"/>
          <w:sz w:val="22"/>
        </w:rPr>
        <w:t xml:space="preserve">, (b) any reduction or increase in such amount from time to time pursuant to assignments by or to such Lender pursuant to </w:t>
      </w:r>
      <w:r>
        <w:rPr>
          <w:rFonts w:ascii="Times New Roman" w:hAnsi="Times New Roman"/>
          <w:color w:val="000000"/>
          <w:sz w:val="22"/>
          <w:u w:val="single"/>
        </w:rPr>
        <w:t>Section 9.04</w:t>
      </w:r>
      <w:r>
        <w:rPr>
          <w:rFonts w:ascii="Times New Roman" w:hAnsi="Times New Roman"/>
          <w:color w:val="000000"/>
          <w:sz w:val="20"/>
        </w:rPr>
        <w:t xml:space="preserve"> </w:t>
      </w:r>
      <w:r>
        <w:rPr>
          <w:rFonts w:ascii="Times New Roman" w:hAnsi="Times New Roman"/>
          <w:color w:val="000000"/>
          <w:sz w:val="22"/>
        </w:rPr>
        <w:t xml:space="preserve">and (c) any increase from time to time pursuant to </w:t>
      </w:r>
      <w:r>
        <w:rPr>
          <w:rFonts w:ascii="Times New Roman" w:hAnsi="Times New Roman"/>
          <w:color w:val="000000"/>
          <w:sz w:val="22"/>
          <w:u w:val="single"/>
        </w:rPr>
        <w:t>Section 2.22</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at no time shall the Credit Exposure of any Lender exceed its Commitment. The initial aggregate amount as of the Effective Date of the Lenders’ Commitments was $125,000,000. The aggregate amount as of the First Amendment Effective Date of the Lenders’ Commitments </w:t>
      </w:r>
      <w:r>
        <w:rPr>
          <w:rFonts w:ascii="Times New Roman" w:hAnsi="Times New Roman"/>
          <w:strike/>
          <w:color w:val="FF0000"/>
          <w:sz w:val="22"/>
        </w:rPr>
        <w:t>is</w:t>
      </w:r>
      <w:r>
        <w:rPr>
          <w:rFonts w:ascii="Times New Roman" w:hAnsi="Times New Roman"/>
          <w:color w:val="0000FF"/>
          <w:sz w:val="22"/>
          <w:u w:val="single"/>
        </w:rPr>
        <w:t>was</w:t>
      </w:r>
      <w:r>
        <w:rPr>
          <w:rFonts w:ascii="Times New Roman" w:hAnsi="Times New Roman"/>
          <w:color w:val="000000"/>
          <w:sz w:val="20"/>
        </w:rPr>
        <w:t xml:space="preserve"> </w:t>
      </w:r>
      <w:r>
        <w:rPr>
          <w:rFonts w:ascii="Times New Roman" w:hAnsi="Times New Roman"/>
          <w:color w:val="000000"/>
          <w:sz w:val="22"/>
        </w:rPr>
        <w:t>$260,000,000.</w:t>
      </w:r>
      <w:r>
        <w:rPr>
          <w:rFonts w:ascii="Times New Roman" w:hAnsi="Times New Roman"/>
          <w:color w:val="0000FF"/>
          <w:sz w:val="20"/>
          <w:u w:val="single"/>
        </w:rPr>
        <w:t xml:space="preserve"> </w:t>
      </w:r>
      <w:r>
        <w:rPr>
          <w:rFonts w:ascii="Times New Roman" w:hAnsi="Times New Roman"/>
          <w:color w:val="0000FF"/>
          <w:sz w:val="22"/>
          <w:u w:val="single"/>
        </w:rPr>
        <w:t>The aggregate amount as of the Second Amendment Effective Date of the Lenders’ Commitments is $305,000,000.</w:t>
      </w:r>
    </w:p>
    <w:p>
      <w:pPr>
        <w:pStyle w:val="TextBody"/>
        <w:bidi w:val="0"/>
        <w:spacing w:before="0" w:after="240"/>
        <w:jc w:val="both"/>
        <w:rPr/>
      </w:pPr>
      <w:r>
        <w:rPr>
          <w:color w:val="000000"/>
        </w:rPr>
        <w:t>“</w:t>
      </w:r>
      <w:r>
        <w:rPr>
          <w:rFonts w:ascii="Times New Roman" w:hAnsi="Times New Roman"/>
          <w:b/>
          <w:i/>
          <w:color w:val="000000"/>
          <w:sz w:val="22"/>
        </w:rPr>
        <w:t>Commitment Fee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2.12(a).</w:t>
      </w:r>
    </w:p>
    <w:p>
      <w:pPr>
        <w:pStyle w:val="TextBody"/>
        <w:bidi w:val="0"/>
        <w:spacing w:before="0" w:after="240"/>
        <w:jc w:val="both"/>
        <w:rPr/>
      </w:pPr>
      <w:r>
        <w:rPr>
          <w:color w:val="000000"/>
        </w:rPr>
        <w:t>“</w:t>
      </w:r>
      <w:r>
        <w:rPr>
          <w:rFonts w:ascii="Times New Roman" w:hAnsi="Times New Roman"/>
          <w:b/>
          <w:i/>
          <w:color w:val="000000"/>
          <w:sz w:val="22"/>
        </w:rPr>
        <w:t>Commodity Exchange Act</w:t>
      </w:r>
      <w:r>
        <w:rPr>
          <w:rFonts w:ascii="Times New Roman" w:hAnsi="Times New Roman"/>
          <w:color w:val="000000"/>
          <w:sz w:val="20"/>
        </w:rPr>
        <w:t xml:space="preserve">” </w:t>
      </w:r>
      <w:r>
        <w:rPr>
          <w:rFonts w:ascii="Times New Roman" w:hAnsi="Times New Roman"/>
          <w:color w:val="000000"/>
          <w:sz w:val="22"/>
        </w:rPr>
        <w:t xml:space="preserve">means the Commodity Exchange Act (7 U.S.C. § 1 </w:t>
      </w:r>
      <w:r>
        <w:rPr>
          <w:rFonts w:ascii="Times New Roman" w:hAnsi="Times New Roman"/>
          <w:i/>
          <w:color w:val="000000"/>
          <w:sz w:val="22"/>
        </w:rPr>
        <w:t>et seq</w:t>
      </w:r>
      <w:r>
        <w:rPr>
          <w:rFonts w:ascii="Times New Roman" w:hAnsi="Times New Roman"/>
          <w:color w:val="000000"/>
          <w:sz w:val="22"/>
        </w:rPr>
        <w:t>.), as amended from time to time, and any successor statute.</w:t>
      </w:r>
    </w:p>
    <w:p>
      <w:pPr>
        <w:pStyle w:val="TextBody"/>
        <w:bidi w:val="0"/>
        <w:spacing w:before="0" w:after="240"/>
        <w:jc w:val="both"/>
        <w:rPr/>
      </w:pPr>
      <w:r>
        <w:rPr>
          <w:color w:val="000000"/>
        </w:rPr>
        <w:t>“</w:t>
      </w:r>
      <w:r>
        <w:rPr>
          <w:rFonts w:ascii="Times New Roman" w:hAnsi="Times New Roman"/>
          <w:b/>
          <w:i/>
          <w:color w:val="000000"/>
          <w:sz w:val="22"/>
        </w:rPr>
        <w:t>Communications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8.03(c)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of a Responsible Officer in substantially the form of </w:t>
      </w:r>
      <w:r>
        <w:rPr>
          <w:rFonts w:ascii="Times New Roman" w:hAnsi="Times New Roman"/>
          <w:color w:val="000000"/>
          <w:sz w:val="22"/>
          <w:u w:val="single"/>
        </w:rPr>
        <w:t>Exhibit 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Consolidated</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consolidated</w:t>
      </w:r>
      <w:r>
        <w:rPr>
          <w:rFonts w:ascii="Times New Roman" w:hAnsi="Times New Roman"/>
          <w:color w:val="000000"/>
          <w:sz w:val="20"/>
        </w:rPr>
        <w:t xml:space="preserve">” </w:t>
      </w:r>
      <w:r>
        <w:rPr>
          <w:rFonts w:ascii="Times New Roman" w:hAnsi="Times New Roman"/>
          <w:color w:val="000000"/>
          <w:sz w:val="22"/>
        </w:rPr>
        <w:t>means, with reference to any term defined herein, that term as applied to the accounts of the Borrower and its Subsidiaries, consolidated in accordance with GAAP.</w:t>
      </w:r>
    </w:p>
    <w:p>
      <w:pPr>
        <w:pStyle w:val="TextBody"/>
        <w:bidi w:val="0"/>
        <w:spacing w:before="0" w:after="240"/>
        <w:jc w:val="both"/>
        <w:rPr/>
      </w:pPr>
      <w:r>
        <w:rPr>
          <w:color w:val="000000"/>
        </w:rPr>
        <w:t>“</w:t>
      </w:r>
      <w:r>
        <w:rPr>
          <w:rFonts w:ascii="Times New Roman" w:hAnsi="Times New Roman"/>
          <w:b/>
          <w:i/>
          <w:color w:val="000000"/>
          <w:sz w:val="22"/>
        </w:rPr>
        <w:t>Consolidated EBITDA</w:t>
      </w:r>
      <w:r>
        <w:rPr>
          <w:rFonts w:ascii="Times New Roman" w:hAnsi="Times New Roman"/>
          <w:color w:val="000000"/>
          <w:sz w:val="20"/>
        </w:rPr>
        <w:t xml:space="preserve">” </w:t>
      </w:r>
      <w:r>
        <w:rPr>
          <w:rFonts w:ascii="Times New Roman" w:hAnsi="Times New Roman"/>
          <w:color w:val="000000"/>
          <w:sz w:val="22"/>
        </w:rPr>
        <w:t>means, with reference to any period, Consolidated Net Income for such period plus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duplication and, except with respect to clauses (vii), (x), (xi), (xvii) and (xxii) below, to the extent deducted (and not added back or excluded) in arriving at such Consolidated Net Income, the sum of the following amounts for such period with respect to the Borrower and its Subsidiaries: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total interest expense determined in accordance with GAAP (including, (A) amortization of original issue discount (“</w:t>
      </w:r>
      <w:r>
        <w:rPr>
          <w:rFonts w:ascii="Times New Roman" w:hAnsi="Times New Roman"/>
          <w:b/>
          <w:i/>
          <w:color w:val="000000"/>
          <w:sz w:val="22"/>
        </w:rPr>
        <w:t>OID</w:t>
      </w:r>
      <w:r>
        <w:rPr>
          <w:color w:val="000000"/>
        </w:rPr>
        <w:t>”</w:t>
      </w:r>
      <w:r>
        <w:rPr>
          <w:rFonts w:ascii="Times New Roman" w:hAnsi="Times New Roman"/>
          <w:color w:val="000000"/>
          <w:sz w:val="22"/>
        </w:rPr>
        <w:t>) resulting from the issuance of Indebtedness at less than par, (B) all commissions, discounts and other fees and charges owed with respect to letters of credit or bankers acceptances, (C) non-cash interest payments, (D) the interest component of Capital Lease Obligations, (E) net payments, if any, pursuant to interest Swap Agreements with respect to Indebtedness, (F) amortization of deferred financing fees, debt issuance costs, commissions and fees, (G) the interest component of any pension or other post-employment benefit expense, and (H) to the extent not reflected in such total interest expense, any losses on hedging obligations or other derivative instruments entered into for the purpose of hedging interest rate risk, net of interest income and gains on such hedging obligations, and costs of surety bonds in connection with financing activities (whether amortized or immediately expensed)),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 xml:space="preserve">without duplication, provision for taxes based on income (or similar taxes in lieu of income taxes), profits or capital gains of the Borrower and the Subsidiaries (including the amount of distributions with respect to taxes made under </w:t>
      </w:r>
      <w:r>
        <w:rPr>
          <w:rFonts w:ascii="Times New Roman" w:hAnsi="Times New Roman"/>
          <w:color w:val="000000"/>
          <w:sz w:val="22"/>
          <w:u w:val="single"/>
        </w:rPr>
        <w:t>Section 6.07</w:t>
      </w:r>
      <w:r>
        <w:rPr>
          <w:rFonts w:ascii="Times New Roman" w:hAnsi="Times New Roman"/>
          <w:color w:val="000000"/>
          <w:sz w:val="22"/>
        </w:rPr>
        <w:t>), including federal, foreign, state, local, franchise, excise, value added and similar taxes and foreign withholding taxes and real estate paid or accrued during such period including penalties and interest related to such taxes or arising from any tax examinations paid or accrued during such period or in respect of any repatriated funds or, to the extent reflected as a charge in the statement of such Consolidated Net Income (regardless of classification), any tax distributions made during, or with respect, such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depreciation and amortization expense, including the amortization of deferred financing fees or costs, debt issuance costs, commissions, fees, and expenses, capitalized expenditures, capitalized software expenditures or costs, amortization of expenditures relating to software, license and intellectual property rights payments, amortization of any lease related assets recorded in purchase accounting, customer acquisition costs, unrecognized prior service costs and actuarial gains and losses related to pensions and other post-employment benefits, the amortization of OID resulting from the issuance of Indebtedness at less than par and incentive payments, conversion costs, and contract acquisition costs of such Person and its Subsidiaries for such period on a consolidated basis and otherwise determined in accordance with GAAP,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extraordinary, exceptional, unusual or non-recurring charges, expenses or losses or special items and (B) any losses on sales of assets outside of the ordinary course of business,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other non-cash charges, expenses or losses, including any non-cash asset retirement costs, non-cash increase in expenses resulting from the revaluation of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inventory (including any impact of changes to inventory valuation policy methods including changes in capitalization of variances) or other inventory adjustments or due to purchase accounting, non-cash expense relating to the vesting of warrants, write-offs or write-downs for such period (provided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non-cash compensation charges and non-cash translation (gain) loss,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retention, recruiting, relocation, integration and signing bonuses and expenses, stock option and other equity-based compensation expenses, severance costs, stay bonuses, transaction fees and expenses and management fees and expenses, any one time expense relating to enhanced accounting function, one-time compensation charges or other transaction costs, (B) expenses, costs and fees (x) associated with becoming a standalone entity or public company and (y) implementation of operational and reporting systems and technology initiatives (including any such payments made in connection with the consummation of the Transactions), (C) severance, signing and stay bonuses and costs, management, monitoring, consulting and advisory fees and expenses, transition costs, transactions fees and expenses, costs incurred in connection with acquisitions and non-recurring intellectual property development after the Effective Date, project start-up costs and other restructuring charges, accrual or reserves and (D) excess pension costs and costs, expenses and charges incurred in connection with curtailments or modifications to pension and post-retirement employee benefits plans,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integration costs, costs incurred in connection with any strategic initiatives and other business optimization expenses and charges (including costs and expenses relating to business optimization programs and new systems design upgrade and implementation costs) accrual, reserves or restructuring charges, and (B) the “run rate” amount of cost savings, operating expense reductions, other operating improvements and cost synergies projected by the Borrower in good faith to be realizable in connection with acquisitions and dispositions of business entities or properties or assets constituting a division or line of business of any business entity (and purchases and Dispositions of intellectual property rights if pro forma treatment is elected by the Borrower in its discretion on a case by case basis), the Transactions or any Specified Transaction or the implementation of an operational initiative or operational change after the Effective Date as a result of actions taken or expected to be taken (calculated on a Pro Forma Basis as though such cost savings, operating expense reductions, other operating improvements and cost synergies had been realized on the first day of such period and as if such cost savings, operating expense reductions, other operating improvements and cost synergies were realized during the entirety of such period and such that the “run rate” means the full recurring benefit for a period that is associated with any action taken or expected to be taken (including any savings expected to result from the elimination of a public target’s compliance costs with public company requirements)), net of the amount of actual benefits realized during such period from such actions; provided that (x) a duly completed certificate signed by a Responsible Officer of the Borrower shall be delivered to the Administrative Agent together with the Compliance Certificate required to be delivered pursuant to Section 5.01, certifying that such cost savings, operating expense reductions, other operating improvements and cost synergies are factually supportable and reasonably anticipated to be realizable, in the good faith judgment of the Borrower, from actions which have been taken or are expected to be taken no later than 24 months after the consummation of the acquisition, Disposition or the implementation of an initiative (or, in the case of cost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savings, operating expense reductions, other operating improvements and cost synergies projected by the Borrower in good faith to be realizable in connection with actions taken prior to the Effective Date, within 24 months after the Effective Date), which is expected to result in such cost savings, expense reductions, other operating improvements or cost synergies, and (y) no cost savings, operating expense reductions and cost synergies, integration costs, costs of strategic initiatives or business optimization expenses or costs (including system design and upgrade implementation costs) and restructuring charges shall be added pursuant to this clause (vii) to the extent duplicative of any expenses or charges otherwise added to Consolidated EBITDA (or any component thereof), whether through a pro forma adjustment or otherwise, for such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director’s fees and related expenses payable to any independent director of Borrower in cash during such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accruals, charges, payments and expenses (including rationalization, legal, tax, structuring and other costs and expenses), or any amortization thereof, related to, or otherwise incurred in connection with, the Transactions (including all fees, premiums and expenses related thereto), acquisitions, Investments, dividends, Restricted Payments, Dispositions, or any amortization thereof, refinancings or issuances of Indebtedness or Equity Interests (whether or not permitted under the Loan Documents) or repayment of debt, issuance of equity securities, refinancing transactions or amendment, negotiation, forbearance, extension or other modification or waiver of any debt instrument (in each case, including any such transaction consummated on the Effective Date and any such transaction undertaken but not completed),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not already included in Consolidated Net Income, proceeds of business interruption insurance and proceeds received or reasonably expected to be received within twelve months,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receipts (or any netting arrangements resulting in reduced cash expenditures) not representing Consolidated EBITDA or Consolidated Net Income in any period to the extent non-cash gains relating to such income were deducted in the calculation of Consolidated EBITDA pursuant to paragraph (B) below for any previous period and not added back,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non-cash increase in expenses (A) resulting from the revaluation of inventory (including any impact of changes to inventory valuation policy methods including changes in capitalization of variances) or other inventory adjustments (including any non-cash increase in expenses as a result of last-in first-out and/or first-in first-out methods of accounting but excluding any non-cash increase as a result of first-in-last-out methods of accounting), or (B) due to purchase accounting associated with the Transactions or any acquisition constituting an Investment permitted under this Agreement consummated prior to or after the Effective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amount of any expense attributable to minority interests or non-controlling interests of third parties in any non-wholly-owned Subsidiary,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amount of (A) management, consulting, monitoring and advisory fees, indemnities and related expenses paid to the Permitted Holder in accordance with the Management Agreement and (B) payments by Borrower or any of its Subsidiaries to the Permitted Holder made for any financial advisory, financing, underwriting or placement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services or in respect of other investment banking activities, including in connection with acquisitions or divestitures which payments are approved by a majority of the board of directors (or analogous governing body) of the Borrower in good faith,</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Equity Funded Employee Plan Costs,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net loss from disposed, abandoned or discontinued operations or product lines,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adjustments (A) evidenced by or contained in a due diligence quality of earnings report prepared by an independent registered public accounting firm of nationally or regionally recognized standing or other independent registered public accounting firm reasonably acceptable to the Administrative Agent (it being understood and agreed that a “big four” accounting firm, shall be deemed reasonably acceptable to the Administrative Agent) with respect to the target of a Permitted Acquisition or other Investment permitted hereunder, (B) consistent with Regulation S-X as in effect prior to January 1, 2021, or (C) set forth in the Sponsor Model,</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payments by the Borrower and the Subsidiaries paid or accrued during such period in respect of purchase price holdbacks, earn outs and other similar contingent obligations to the extent not deducted in calculating Consolidated Net Income of the Borrower and the Subsidiaries other than Indebtedness,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joint venture that is not a Subsidiary, an amount equal to the proportion of those items described in clauses (i), (ii) and (iii) above relating to such joint venture corresponding to the Borrower’s and the Subsidiaries’ proportionate share of such joint venture’s Consolidated Net Income (determined as if such joint venture were a Subsidiary),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amount of costs, charges and expenses relating to payments made to option holders of any direct or indirect parent of the Borrower in connection with, or as a result of, any distribution being made to equityholders of such Person, which payments are being made to compensate such option holders as though they were equityholders at the time of, and entitled to share in, such distribution, in each case to the extent permitted under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amount of expenses, charges or losses that are covered by indemnification or other reimbursement provisions, in each case, by a third party, to the extent actually reimbursed, or, so long as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365-day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amount of cash or non-cash charges incurred by the Borrower or its Subsidiaries in respect of annual catch-up pension plan payments and related expenses;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net increases in deferred revenue liabilities (including the current portion thereof);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costs, expenses and charges incurred in connection with governmental investigations, environmental matters and litigation (including the settlement thereof);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recognized losses in cash on hedging obligations;</w:t>
      </w:r>
    </w:p>
    <w:p>
      <w:pPr>
        <w:pStyle w:val="TextBody"/>
        <w:bidi w:val="0"/>
        <w:spacing w:before="0" w:after="240"/>
        <w:jc w:val="left"/>
        <w:rPr>
          <w:rFonts w:ascii="Times New Roman" w:hAnsi="Times New Roman"/>
          <w:sz w:val="20"/>
        </w:rPr>
      </w:pPr>
      <w:r>
        <w:rPr>
          <w:rFonts w:ascii="Times New Roman" w:hAnsi="Times New Roman"/>
          <w:color w:val="000000"/>
          <w:sz w:val="22"/>
        </w:rPr>
        <w:t>provided that, for any Test Period, the foregoing adjustments set forth in clauses (a)(vi), (vii), together with similar adjustments pursuant to Section 1.14(c), (xxiv) and (xxv) shall not exceed the greater of (I) $15,000,000 and (II) 30% of Consolidated EBITDA (calculated after giving effect to all addbacks and adjustments) for such Test Period (the “</w:t>
      </w:r>
      <w:r>
        <w:rPr>
          <w:rFonts w:ascii="Times New Roman" w:hAnsi="Times New Roman"/>
          <w:color w:val="000000"/>
          <w:sz w:val="22"/>
          <w:u w:val="single"/>
        </w:rPr>
        <w:t>Combined Cap</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minus (b) without duplication and to the extent included in arriving at such Consolidated Net Income, (i) non-cash gains (excluding any non-cash gain to the extent it represents the reversal of an accrual or reserve for a potential cash item that reduced Consolidated EBITDA in any prior period) including non-cash gains as a result of last-in first-out and/or first-in first-out methods of accounting but excluding any non-cash increase as a result of first-in-last-out methods of accounting, (ii) any net gain from disposed, abandoned or discontinued operations or product lines, (iii) (x) any extraordinary, unusual or non-recurring net gains and (y) any gains on sales of assets outside of the ordinary course of business (cash and non-cash), (iv) net decreases in deferred revenue liabilities (including the current portion thereof), (v) recognized gains in cash on hedging obligations and (vi) the amount of any business interruption insurance proceeds added to Consolidated EBITDA pursuant to clause (a)(x) above in a previous period to the extent not received within twelve months of determination; provided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to the extent included in Consolidated Net Income, there shall be excluded in determining Consolidated EBITDA (x) currency translation gains and losses related to currency re-measurements of Indebtedness (including the net loss or gain (i) resulting from Swap Agreements for currency exchange risk and (ii) resulting from intercompany indebtedness) and (y) all other foreign currency translation gains or losses to the extent such gains or losses are non-cash items;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to the extent included in Consolidated Net Income, there shall be excluded in determining Consolidated EBITDA for any period any adjustments resulting from the application of FASB Accounting Standards Codification 815 and International Accounting Standard No. 39 and their respective related pronouncements and interpretations;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to the extent included in Consolidated Net Income, there shall be excluded in determining Consolidated EBITDA for any period any income (loss) for such period attributable to the early extinguishment of (i) Indebtedness, (ii) obligations under any Swap Agreements or (iii) other derivative instruments.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Consolidated EBITDA shall be calculated, including pro forma adjustments, in accordance with </w:t>
      </w:r>
      <w:r>
        <w:rPr>
          <w:rFonts w:ascii="Times New Roman" w:hAnsi="Times New Roman"/>
          <w:color w:val="000000"/>
          <w:sz w:val="22"/>
          <w:u w:val="single"/>
        </w:rPr>
        <w:t>Section 1.14.</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Consolidated First Lien Debt</w:t>
      </w:r>
      <w:r>
        <w:rPr>
          <w:rFonts w:ascii="Times New Roman" w:hAnsi="Times New Roman"/>
          <w:color w:val="000000"/>
          <w:sz w:val="20"/>
        </w:rPr>
        <w:t xml:space="preserve">” </w:t>
      </w:r>
      <w:r>
        <w:rPr>
          <w:rFonts w:ascii="Times New Roman" w:hAnsi="Times New Roman"/>
          <w:color w:val="000000"/>
          <w:sz w:val="22"/>
        </w:rPr>
        <w:t>means, as of any date of determination the amount of Consolidated Total Debt (including in respect of the Loans hereunder) that is secured by a Lien on the Collateral on an equal or super priority basis with the Liens on the Collateral securing the Secured Obligations.</w:t>
      </w:r>
    </w:p>
    <w:p>
      <w:pPr>
        <w:pStyle w:val="TextBody"/>
        <w:bidi w:val="0"/>
        <w:spacing w:before="0" w:after="240"/>
        <w:jc w:val="both"/>
        <w:rPr/>
      </w:pPr>
      <w:r>
        <w:rPr>
          <w:color w:val="000000"/>
        </w:rPr>
        <w:t>“</w:t>
      </w:r>
      <w:r>
        <w:rPr>
          <w:rFonts w:ascii="Times New Roman" w:hAnsi="Times New Roman"/>
          <w:b/>
          <w:i/>
          <w:color w:val="000000"/>
          <w:sz w:val="22"/>
        </w:rPr>
        <w:t>Consolidated First Lien Net Debt</w:t>
      </w:r>
      <w:r>
        <w:rPr>
          <w:rFonts w:ascii="Times New Roman" w:hAnsi="Times New Roman"/>
          <w:color w:val="000000"/>
          <w:sz w:val="20"/>
        </w:rPr>
        <w:t xml:space="preserve">” </w:t>
      </w:r>
      <w:r>
        <w:rPr>
          <w:rFonts w:ascii="Times New Roman" w:hAnsi="Times New Roman"/>
          <w:color w:val="000000"/>
          <w:sz w:val="22"/>
        </w:rPr>
        <w:t>means, as of any date of determination, an amount equal 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Consolidated First Lien Debt as of such date; minus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Unrestricted Cash of Borrower and its Subsidiaries in an aggregate amount not to exceed $50,000,000.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Consolidated First Lien Net Leverage Ratio</w:t>
      </w:r>
      <w:r>
        <w:rPr>
          <w:rFonts w:ascii="Times New Roman" w:hAnsi="Times New Roman"/>
          <w:color w:val="000000"/>
          <w:sz w:val="20"/>
        </w:rPr>
        <w:t xml:space="preserve">” </w:t>
      </w:r>
      <w:r>
        <w:rPr>
          <w:rFonts w:ascii="Times New Roman" w:hAnsi="Times New Roman"/>
          <w:color w:val="000000"/>
          <w:sz w:val="22"/>
        </w:rPr>
        <w:t>means, on any date of determination, the ratio of (a) Consolidated First Lien Net Debt as of the last day of the Test Period most recently ended on or prior to such date of determination to (b) Consolidated EBITDA for the Test Period as of such date.</w:t>
      </w:r>
    </w:p>
    <w:p>
      <w:pPr>
        <w:pStyle w:val="TextBody"/>
        <w:bidi w:val="0"/>
        <w:spacing w:before="0" w:after="240"/>
        <w:jc w:val="both"/>
        <w:rPr/>
      </w:pPr>
      <w:r>
        <w:rPr>
          <w:color w:val="000000"/>
        </w:rPr>
        <w:t>“</w:t>
      </w:r>
      <w:r>
        <w:rPr>
          <w:rFonts w:ascii="Times New Roman" w:hAnsi="Times New Roman"/>
          <w:b/>
          <w:i/>
          <w:color w:val="000000"/>
          <w:sz w:val="22"/>
        </w:rPr>
        <w:t>Consolidated Net Income</w:t>
      </w:r>
      <w:r>
        <w:rPr>
          <w:rFonts w:ascii="Times New Roman" w:hAnsi="Times New Roman"/>
          <w:color w:val="000000"/>
          <w:sz w:val="20"/>
        </w:rPr>
        <w:t xml:space="preserve">” </w:t>
      </w:r>
      <w:r>
        <w:rPr>
          <w:rFonts w:ascii="Times New Roman" w:hAnsi="Times New Roman"/>
          <w:color w:val="000000"/>
          <w:sz w:val="22"/>
        </w:rPr>
        <w:t>means, for any period, the net income (loss) of the Borrower and the Subsidiaries for such period determined on a consolidated basis in accordance with GAAP; provided, however, that, without duplication,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cumulative effect of a change in accounting principles during such period to the extent included in Consolidated Net Income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accruals and reserves that are established or adjusted within 12 months after the Effective Date that are so required to be established or adjusted as a result of the Transactions (or within 12 months after the closing of any acquisition that are so required to be established or adjusted as a result of such acquisition) in accordance with GAAP or charges as a result of adoption or modification of accounting policies in accordance with GAAP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net after-tax effect of gains or losses (less all fees, expenses and charges relating thereto) attributable to asset dispositions or abandonments or the sale or other disposition of any Equity Interests of any Person, in each case other than in the ordinary course of business, as determined in good faith by the Borrower,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net income (loss) for such period of any Person that is not a Subsidiary of the Borrower, or that is accounted for by the equity method of accounting, shall be excluded; provided that Consolidated Net Income of the Borrower shall be increased by the amount of dividends or distributions or other payments that are actually paid in cash or Permitted Investments (or to the extent subsequently converted into cash or Permitted Investments) to the Borrower or a Subsidiary thereof in respect of such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non-cash compensation charge or expense, including any such charge or expense arising from the grants of stock appreciation or similar rights, stock options, restricted stock or other rights or equity incentive programs or any other equity-based compensation shall be excluded, and any cash charges associated with the rollover, acceleration or payout of Equity Interests by management of the Borrower or any of its direct or indirect parents in connection with the Transactions,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expenses, charges or losses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 amount is in fact indemnified or reimbursed within 365 days of such determination (with a deduction in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applicable future period for any amount so added back to the extent not so indemnified or reimbursed within such 365-day period),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covered by insurance and actually reimbursed, or, so long as the Borrower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days), expenses, charges or losses with respect to liability or casualty events or business interruption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(t)</w:t>
      </w:r>
    </w:p>
    <w:p>
      <w:pPr>
        <w:pStyle w:val="TextBody"/>
        <w:bidi w:val="0"/>
        <w:spacing w:before="0" w:after="240"/>
        <w:jc w:val="both"/>
        <w:rPr/>
      </w:pPr>
      <w:r>
        <w:rPr>
          <w:rFonts w:ascii="Times New Roman" w:hAnsi="Times New Roman"/>
          <w:color w:val="000000"/>
          <w:sz w:val="22"/>
        </w:rPr>
        <w:t xml:space="preserve">the income (or loss) of any Person accrued prior to the date it becomes a Subsidiary of the Borrower or is merged into or consolidated with Borrower or any of its Subsidiaries or such Person’s assets are acquired by the Borrower or any of its Subsidiaries shall be excluded (except to the extent required for any calculation of Consolidated EBITDA on a Pro Forma Basis in accordance with </w:t>
      </w:r>
      <w:r>
        <w:rPr>
          <w:rFonts w:ascii="Times New Roman" w:hAnsi="Times New Roman"/>
          <w:color w:val="000000"/>
          <w:sz w:val="22"/>
          <w:u w:val="single"/>
        </w:rPr>
        <w:t>Section 1.14</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(u)</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[intentionally omitted],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purchase accounting effects of adjustments in component amounts required or permitted by GAAP (including in the inventory, property and equipment, goodwill, intangible assets, in-process research and development, deferred revenue and debt line items thereof) and related authoritative pronouncements (including the effects of such adjustments pushed down to the Borrower and the Subsidiaries), as a result of the Transactions, any acquisition constituting an Investment permitted under this Agreement consummated prior to or after the Effective Date, or the amortization or write-off of any amounts thereof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letter of credit fees shall be excluded,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deferred tax expense associated with tax deductions or net operating losses arising as a result of the Transactions, or the release of any valuation allowance related to such items,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gains and losses due solely to fluctuations in currency values and the related tax effects determined in accordance with GAAP for such period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Statement of Financial Accounting Standards Nos. 87, 106 and 112, and any other items of a similar nature,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non-cash adjustments resulting from the application of Accounting Standards Codification Topic No. 460, Guarantees, or any comparable regulation, shall be excluded,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earn out obligations and other contingent consideration obligations (including to the extent accounted for as bonuses, compensation or otherwise (and including deferred performance incentives in connection with Permitted Acquisitions or other Investment permitted hereunder whether or not a service component is required from the transferor or its related party)) and adjustments thereof and purchase price adjustments, shall be excluded,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accruals and reserves (including contingent liabilities) that are (x) established or adjusted within twelve months after the Effective Date that are so required to be established as a result of the Transactions or (y) established or adjusted within twelve months after the closing of any Permitted Acquisition or any other acquisition (other than any such other acquisition in the ordinary course of business) that are so required to be established or adjusted as a result of such Permitted Acquisition or such other acquisition, in each case in accordance with GAAP, or (b) charges, accruals, expenses and reserves as a result of adoption or modification of accounting policies,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extraordinary, exceptional, unusual or non-recurring charges, expenses, losses, items or special items and (B) any losses on sales of assets outside of the ordinary course of business, shall be excluded,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retention, recruiting, relocation, integration and signing bonuses and expenses, stock option and other equity-based compensation expenses, severance costs, stay bonuses, transaction fees and expenses and management fees and expenses, including any one time expense relating to enhanced accounting function or other transaction costs, including those associated with becoming a standalone entity or public company and implementation of operational and reporting systems and technology initiatives (including, without limitation, any such payments made in connection with the consummation of the Transactions), shall be excluded,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amount of cash or non-cash charges incurred by the Borrower or its Subsidiaries in respect of annual catch-up pension plan payments and related expenses, shall be excluded,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amount of (A) management, consulting, monitoring and advisory fees and related indemnities and expenses paid to the Permitted Holder in accordance with the Management Agreement and (B) payments by Borrower or any of its Subsidiaries to the Permitted Holder made for any financial advisory, financing, underwriting or placement services or in respect of other investment banking activities, including, without limitation, in connection with acquisitions or divestitures which payments are approved by a majority of the board of directors (or analogous governing body) of the Borrower in good faith,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to the extent not already included in the Consolidated Net Income of such Person and its Subsidiaries in any period, notwithstanding anything to the contrary in the foregoing, Consolidated Net Income shall include the amount of proceeds received from business interruption insurance.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Consolidated Net Income shall be calculated, including any pro forma adjustments, in accordance with </w:t>
      </w:r>
      <w:r>
        <w:rPr>
          <w:rFonts w:ascii="Times New Roman" w:hAnsi="Times New Roman"/>
          <w:color w:val="000000"/>
          <w:sz w:val="22"/>
          <w:u w:val="single"/>
        </w:rPr>
        <w:t>Section 1.14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Consolidated Secured Debt</w:t>
      </w:r>
      <w:r>
        <w:rPr>
          <w:rFonts w:ascii="Times New Roman" w:hAnsi="Times New Roman"/>
          <w:color w:val="000000"/>
          <w:sz w:val="20"/>
        </w:rPr>
        <w:t xml:space="preserve">” </w:t>
      </w:r>
      <w:r>
        <w:rPr>
          <w:rFonts w:ascii="Times New Roman" w:hAnsi="Times New Roman"/>
          <w:color w:val="000000"/>
          <w:sz w:val="22"/>
        </w:rPr>
        <w:t>means, as of any date of determination the amount of Consolidated Total Debt (including in respect of the Loans hereunder) that is secured by a Lien on the Collateral of the Borrower or any Loan Party securing the Secured Obligations.</w:t>
      </w:r>
    </w:p>
    <w:p>
      <w:pPr>
        <w:pStyle w:val="TextBody"/>
        <w:bidi w:val="0"/>
        <w:spacing w:before="0" w:after="240"/>
        <w:jc w:val="both"/>
        <w:rPr/>
      </w:pPr>
      <w:r>
        <w:rPr>
          <w:color w:val="000000"/>
        </w:rPr>
        <w:t>“</w:t>
      </w:r>
      <w:r>
        <w:rPr>
          <w:rFonts w:ascii="Times New Roman" w:hAnsi="Times New Roman"/>
          <w:b/>
          <w:i/>
          <w:color w:val="000000"/>
          <w:sz w:val="22"/>
        </w:rPr>
        <w:t>Consolidated Secured Net Debt</w:t>
      </w:r>
      <w:r>
        <w:rPr>
          <w:rFonts w:ascii="Times New Roman" w:hAnsi="Times New Roman"/>
          <w:color w:val="000000"/>
          <w:sz w:val="20"/>
        </w:rPr>
        <w:t xml:space="preserve">” </w:t>
      </w:r>
      <w:r>
        <w:rPr>
          <w:rFonts w:ascii="Times New Roman" w:hAnsi="Times New Roman"/>
          <w:color w:val="000000"/>
          <w:sz w:val="22"/>
        </w:rPr>
        <w:t>means, as of any date of determination, an amount equal 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Consolidated Secured Debt as of such date; minus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Unrestricted Cash of Borrower and its Subsidiaries in an aggregate amount not to exceed $50,000,000.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Consolidated Secured Net Leverage Ratio</w:t>
      </w:r>
      <w:r>
        <w:rPr>
          <w:rFonts w:ascii="Times New Roman" w:hAnsi="Times New Roman"/>
          <w:color w:val="000000"/>
          <w:sz w:val="20"/>
        </w:rPr>
        <w:t xml:space="preserve">” </w:t>
      </w:r>
      <w:r>
        <w:rPr>
          <w:rFonts w:ascii="Times New Roman" w:hAnsi="Times New Roman"/>
          <w:color w:val="000000"/>
          <w:sz w:val="22"/>
        </w:rPr>
        <w:t>means, on any date of determination, the ratio of (a) Consolidated Secured Net Debt as of the last day of the Test Period most recently ended on or prior to such date of determination to (b) Consolidated EBITDA for the Test Period as of such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Consolidated Total Net Debt</w:t>
      </w:r>
      <w:r>
        <w:rPr>
          <w:rFonts w:ascii="Times New Roman" w:hAnsi="Times New Roman"/>
          <w:color w:val="000000"/>
          <w:sz w:val="20"/>
        </w:rPr>
        <w:t xml:space="preserve">” </w:t>
      </w:r>
      <w:r>
        <w:rPr>
          <w:rFonts w:ascii="Times New Roman" w:hAnsi="Times New Roman"/>
          <w:color w:val="000000"/>
          <w:sz w:val="22"/>
        </w:rPr>
        <w:t>means, as of any date of determination, an amount equal 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Consolidated Total Debt as of such date; minus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Unrestricted Cash of Borrower and its Subsidiaries in an aggregate amount not to exceed $50,000,000.</w:t>
      </w:r>
    </w:p>
    <w:p>
      <w:pPr>
        <w:pStyle w:val="TextBody"/>
        <w:bidi w:val="0"/>
        <w:spacing w:before="0" w:after="240"/>
        <w:jc w:val="both"/>
        <w:rPr/>
      </w:pPr>
      <w:r>
        <w:rPr>
          <w:color w:val="000000"/>
        </w:rPr>
        <w:t>“</w:t>
      </w:r>
      <w:r>
        <w:rPr>
          <w:rFonts w:ascii="Times New Roman" w:hAnsi="Times New Roman"/>
          <w:b/>
          <w:i/>
          <w:color w:val="000000"/>
          <w:sz w:val="22"/>
        </w:rPr>
        <w:t>Consolidated Total Net Leverage Ratio</w:t>
      </w:r>
      <w:r>
        <w:rPr>
          <w:rFonts w:ascii="Times New Roman" w:hAnsi="Times New Roman"/>
          <w:color w:val="000000"/>
          <w:sz w:val="20"/>
        </w:rPr>
        <w:t xml:space="preserve">” </w:t>
      </w:r>
      <w:r>
        <w:rPr>
          <w:rFonts w:ascii="Times New Roman" w:hAnsi="Times New Roman"/>
          <w:color w:val="000000"/>
          <w:sz w:val="22"/>
        </w:rPr>
        <w:t>means, on any date of determination, the ratio of (a) Consolidated Total Net Debt as of the last day of the Test Period most recently ended on or prior to such date of determination to (b) Consolidated EBITDA for the Test Period as of such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Consolidated Total Assets</w:t>
      </w:r>
      <w:r>
        <w:rPr>
          <w:rFonts w:ascii="Times New Roman" w:hAnsi="Times New Roman"/>
          <w:color w:val="000000"/>
          <w:sz w:val="20"/>
        </w:rPr>
        <w:t xml:space="preserve">” </w:t>
      </w:r>
      <w:r>
        <w:rPr>
          <w:rFonts w:ascii="Times New Roman" w:hAnsi="Times New Roman"/>
          <w:color w:val="000000"/>
          <w:sz w:val="22"/>
        </w:rPr>
        <w:t xml:space="preserve">means the total assets of the Borrower and its Subsidiaries on a consolidated basis in accordance with GAAP, as shown on the most recent balance sheet of the Borrower delivered pursuant to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(or pro forma financial statements delivered on the Effective Date to the extent such financial statements were not yet delivered under</w:t>
      </w:r>
      <w:r>
        <w:rPr>
          <w:rFonts w:ascii="Times New Roman" w:hAnsi="Times New Roman"/>
          <w:color w:val="000000"/>
          <w:sz w:val="20"/>
          <w:u w:val="single"/>
        </w:rPr>
        <w:t xml:space="preserve"> </w:t>
      </w:r>
      <w:r>
        <w:rPr>
          <w:rFonts w:ascii="Times New Roman" w:hAnsi="Times New Roman"/>
          <w:color w:val="000000"/>
          <w:sz w:val="22"/>
          <w:u w:val="single"/>
        </w:rPr>
        <w:t>Section 5.01(a)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p>
    <w:p>
      <w:pPr>
        <w:pStyle w:val="TextBody"/>
        <w:bidi w:val="0"/>
        <w:spacing w:before="0" w:after="240"/>
        <w:jc w:val="both"/>
        <w:rPr/>
      </w:pPr>
      <w:r>
        <w:rPr>
          <w:color w:val="000000"/>
        </w:rPr>
        <w:t>“</w:t>
      </w:r>
      <w:r>
        <w:rPr>
          <w:rFonts w:ascii="Times New Roman" w:hAnsi="Times New Roman"/>
          <w:b/>
          <w:i/>
          <w:color w:val="000000"/>
          <w:sz w:val="22"/>
        </w:rPr>
        <w:t>Consolidated Total Debt</w:t>
      </w:r>
      <w:r>
        <w:rPr>
          <w:rFonts w:ascii="Times New Roman" w:hAnsi="Times New Roman"/>
          <w:color w:val="000000"/>
          <w:sz w:val="20"/>
        </w:rPr>
        <w:t xml:space="preserve">” </w:t>
      </w:r>
      <w:r>
        <w:rPr>
          <w:rFonts w:ascii="Times New Roman" w:hAnsi="Times New Roman"/>
          <w:color w:val="000000"/>
          <w:sz w:val="22"/>
        </w:rPr>
        <w:t>means, as of any date of determination, the outstanding principal amount of all Indebtedness owed to a third party consisting of (i) Indebtedness for borrowed money, (ii) unreimbursed drawings under letters of credit to the extent not reimbursed within three Business Days following the drawing thereof (or such later time as may be permitted by the documentation governing the issuance of such letter of credit), (iii) Capital Lease Obligations and purchase money indebtedness, and (iv) all Guarantees with respect to any of the foregoing, in each case, of Borrower and its Subsidiaries on such date, on a consolidated basis and determined in accordance with GAAP (but without giving effect to any election to value any such Indebtedness at “fair value” or any other accounting principle that results in any such Indebtedness (other than zero coupon Indebtedness) being reflected as an amount below the stated principal amount thereof and excluding, in any event, the effects of any discounting of Indebtedness resulting from the application of acquisition method accounting in connection with any Permitted Acquisition or other Investment). For the avoidance of doubt, it is understood that (i) obligations under Swap Agreements and Banking Services, (ii) sale and leaseback transactions and equipment financings and (iii) seller notes, earnouts and other deferred purchase price obligations and contingent acquisition consideration until earned, due and payable and unpaid for a period exceeding thirty (30) days, in each case, do not constitute Consolidated Total Debt.</w:t>
      </w:r>
    </w:p>
    <w:p>
      <w:pPr>
        <w:pStyle w:val="TextBody"/>
        <w:bidi w:val="0"/>
        <w:spacing w:before="0" w:after="240"/>
        <w:jc w:val="both"/>
        <w:rPr/>
      </w:pPr>
      <w:r>
        <w:rPr>
          <w:color w:val="000000"/>
        </w:rPr>
        <w:t>“</w:t>
      </w:r>
      <w:r>
        <w:rPr>
          <w:rFonts w:ascii="Times New Roman" w:hAnsi="Times New Roman"/>
          <w:b/>
          <w:i/>
          <w:color w:val="000000"/>
          <w:sz w:val="22"/>
        </w:rPr>
        <w:t>Consolidated Total Revenues</w:t>
      </w:r>
      <w:r>
        <w:rPr>
          <w:rFonts w:ascii="Times New Roman" w:hAnsi="Times New Roman"/>
          <w:color w:val="000000"/>
          <w:sz w:val="20"/>
        </w:rPr>
        <w:t xml:space="preserve">” </w:t>
      </w:r>
      <w:r>
        <w:rPr>
          <w:rFonts w:ascii="Times New Roman" w:hAnsi="Times New Roman"/>
          <w:color w:val="000000"/>
          <w:sz w:val="22"/>
        </w:rPr>
        <w:t xml:space="preserve">means the gross revenues of the Borrower and its Subsidiaries, determined on a consolidated basis in accordance with GAAP, as shown on the most recent income statement of the Borrower delivered pursuant to </w:t>
      </w:r>
      <w:r>
        <w:rPr>
          <w:rFonts w:ascii="Times New Roman" w:hAnsi="Times New Roman"/>
          <w:color w:val="000000"/>
          <w:sz w:val="22"/>
          <w:u w:val="single"/>
        </w:rPr>
        <w:t>Section 5.01</w:t>
      </w:r>
      <w:r>
        <w:rPr>
          <w:rFonts w:ascii="Times New Roman" w:hAnsi="Times New Roman"/>
          <w:color w:val="000000"/>
          <w:sz w:val="22"/>
        </w:rPr>
        <w:t>(</w:t>
      </w:r>
      <w:r>
        <w:rPr>
          <w:rFonts w:ascii="Times New Roman" w:hAnsi="Times New Roman"/>
          <w:color w:val="000000"/>
          <w:sz w:val="22"/>
          <w:u w:val="single"/>
        </w:rPr>
        <w:t>a) or (b)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Control</w:t>
      </w:r>
      <w:r>
        <w:rPr>
          <w:rFonts w:ascii="Times New Roman" w:hAnsi="Times New Roman"/>
          <w:color w:val="000000"/>
          <w:sz w:val="20"/>
        </w:rPr>
        <w:t xml:space="preserve">” </w:t>
      </w:r>
      <w:r>
        <w:rPr>
          <w:rFonts w:ascii="Times New Roman" w:hAnsi="Times New Roman"/>
          <w:color w:val="000000"/>
          <w:sz w:val="22"/>
        </w:rPr>
        <w:t>means the possession, directly or indirectly, of the power to direct or cause the direction of the management or policies of a Person, whether through the ability to exercise voting power or by contract. “</w:t>
      </w:r>
      <w:r>
        <w:rPr>
          <w:rFonts w:ascii="Times New Roman" w:hAnsi="Times New Roman"/>
          <w:b/>
          <w:i/>
          <w:color w:val="000000"/>
          <w:sz w:val="22"/>
        </w:rPr>
        <w:t>Controlling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i/>
          <w:color w:val="000000"/>
          <w:sz w:val="22"/>
        </w:rPr>
        <w:t>Controlled</w:t>
      </w:r>
      <w:r>
        <w:rPr>
          <w:rFonts w:ascii="Times New Roman" w:hAnsi="Times New Roman"/>
          <w:color w:val="000000"/>
          <w:sz w:val="20"/>
        </w:rPr>
        <w:t xml:space="preserve">” </w:t>
      </w:r>
      <w:r>
        <w:rPr>
          <w:rFonts w:ascii="Times New Roman" w:hAnsi="Times New Roman"/>
          <w:color w:val="000000"/>
          <w:sz w:val="22"/>
        </w:rPr>
        <w:t>have meanings correlative thereto.</w:t>
      </w:r>
    </w:p>
    <w:p>
      <w:pPr>
        <w:pStyle w:val="TextBody"/>
        <w:bidi w:val="0"/>
        <w:spacing w:before="0" w:after="240"/>
        <w:jc w:val="both"/>
        <w:rPr/>
      </w:pPr>
      <w:r>
        <w:rPr>
          <w:color w:val="000000"/>
        </w:rPr>
        <w:t>“</w:t>
      </w:r>
      <w:r>
        <w:rPr>
          <w:rFonts w:ascii="Times New Roman" w:hAnsi="Times New Roman"/>
          <w:b/>
          <w:i/>
          <w:color w:val="000000"/>
          <w:sz w:val="22"/>
        </w:rPr>
        <w:t>Control Account Agreement</w:t>
      </w:r>
      <w:r>
        <w:rPr>
          <w:rFonts w:ascii="Times New Roman" w:hAnsi="Times New Roman"/>
          <w:color w:val="000000"/>
          <w:sz w:val="20"/>
        </w:rPr>
        <w:t xml:space="preserve">” </w:t>
      </w:r>
      <w:r>
        <w:rPr>
          <w:rFonts w:ascii="Times New Roman" w:hAnsi="Times New Roman"/>
          <w:color w:val="000000"/>
          <w:sz w:val="22"/>
        </w:rPr>
        <w:t>means any tri-party agreement by and among a Loan Party, the Administrative Agent and a depositary bank or securities intermediary at which such Loan Party maintains a Controlled Account, in each case in form and substance reasonably satisfactory to the Administrative Agent.</w:t>
      </w:r>
    </w:p>
    <w:p>
      <w:pPr>
        <w:pStyle w:val="TextBody"/>
        <w:bidi w:val="0"/>
        <w:spacing w:before="0" w:after="240"/>
        <w:jc w:val="both"/>
        <w:rPr/>
      </w:pPr>
      <w:r>
        <w:rPr>
          <w:color w:val="000000"/>
        </w:rPr>
        <w:t>“</w:t>
      </w:r>
      <w:r>
        <w:rPr>
          <w:rFonts w:ascii="Times New Roman" w:hAnsi="Times New Roman"/>
          <w:b/>
          <w:i/>
          <w:color w:val="000000"/>
          <w:sz w:val="22"/>
        </w:rPr>
        <w:t>Controlled Account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5.14</w:t>
      </w:r>
      <w:r>
        <w:rPr>
          <w:rFonts w:ascii="Times New Roman" w:hAnsi="Times New Roman"/>
          <w:color w:val="000000"/>
          <w:sz w:val="22"/>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Corresponding Tenor</w:t>
      </w:r>
      <w:r>
        <w:rPr>
          <w:rFonts w:ascii="Times New Roman" w:hAnsi="Times New Roman"/>
          <w:color w:val="000000"/>
          <w:sz w:val="20"/>
        </w:rPr>
        <w:t xml:space="preserve">” </w:t>
      </w:r>
      <w:r>
        <w:rPr>
          <w:rFonts w:ascii="Times New Roman" w:hAnsi="Times New Roman"/>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jc w:val="both"/>
        <w:rPr/>
      </w:pPr>
      <w:r>
        <w:rPr>
          <w:color w:val="000000"/>
        </w:rPr>
        <w:t>“</w:t>
      </w:r>
      <w:r>
        <w:rPr>
          <w:rFonts w:ascii="Times New Roman" w:hAnsi="Times New Roman"/>
          <w:b/>
          <w:i/>
          <w:color w:val="000000"/>
          <w:sz w:val="22"/>
        </w:rPr>
        <w:t>Covered Entity</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a “</w:t>
      </w:r>
      <w:r>
        <w:rPr>
          <w:rFonts w:ascii="Times New Roman" w:hAnsi="Times New Roman"/>
          <w:b/>
          <w:i/>
          <w:color w:val="000000"/>
          <w:sz w:val="22"/>
        </w:rPr>
        <w:t>covered entity</w:t>
      </w:r>
      <w:r>
        <w:rPr>
          <w:color w:val="000000"/>
        </w:rPr>
        <w:t xml:space="preserve">” </w:t>
      </w:r>
      <w:r>
        <w:rPr>
          <w:rFonts w:ascii="Times New Roman" w:hAnsi="Times New Roman"/>
          <w:color w:val="000000"/>
          <w:sz w:val="22"/>
        </w:rPr>
        <w:t>as that term is defined in, and interpreted in accordance with, 12 C.F.R. § 252.82(b);</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a “</w:t>
      </w:r>
      <w:r>
        <w:rPr>
          <w:rFonts w:ascii="Times New Roman" w:hAnsi="Times New Roman"/>
          <w:b/>
          <w:i/>
          <w:color w:val="000000"/>
          <w:sz w:val="22"/>
        </w:rPr>
        <w:t>covered bank</w:t>
      </w:r>
      <w:r>
        <w:rPr>
          <w:color w:val="000000"/>
        </w:rPr>
        <w:t xml:space="preserve">” </w:t>
      </w:r>
      <w:r>
        <w:rPr>
          <w:rFonts w:ascii="Times New Roman" w:hAnsi="Times New Roman"/>
          <w:color w:val="000000"/>
          <w:sz w:val="22"/>
        </w:rPr>
        <w:t>as that term is defined in, and interpreted in accordance with, 12 C.F.R. § 47.3(b);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a “</w:t>
      </w:r>
      <w:r>
        <w:rPr>
          <w:rFonts w:ascii="Times New Roman" w:hAnsi="Times New Roman"/>
          <w:b/>
          <w:i/>
          <w:color w:val="000000"/>
          <w:sz w:val="22"/>
        </w:rPr>
        <w:t>covered FSI</w:t>
      </w:r>
      <w:r>
        <w:rPr>
          <w:color w:val="000000"/>
        </w:rPr>
        <w:t xml:space="preserve">” </w:t>
      </w:r>
      <w:r>
        <w:rPr>
          <w:rFonts w:ascii="Times New Roman" w:hAnsi="Times New Roman"/>
          <w:color w:val="000000"/>
          <w:sz w:val="22"/>
        </w:rPr>
        <w:t xml:space="preserve">as that term is defined in, and interpreted in accordance with, 12 C.F.R. § 382.2(b). </w:t>
      </w:r>
    </w:p>
    <w:p>
      <w:pPr>
        <w:pStyle w:val="TextBody"/>
        <w:bidi w:val="0"/>
        <w:spacing w:before="0" w:after="240"/>
        <w:jc w:val="both"/>
        <w:rPr/>
      </w:pPr>
      <w:r>
        <w:rPr>
          <w:color w:val="000000"/>
        </w:rPr>
        <w:t>“</w:t>
      </w:r>
      <w:r>
        <w:rPr>
          <w:rFonts w:ascii="Times New Roman" w:hAnsi="Times New Roman"/>
          <w:b/>
          <w:i/>
          <w:color w:val="000000"/>
          <w:sz w:val="22"/>
        </w:rPr>
        <w:t>Covered Party</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9.21(b)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Credit Exposure</w:t>
      </w:r>
      <w:r>
        <w:rPr>
          <w:rFonts w:ascii="Times New Roman" w:hAnsi="Times New Roman"/>
          <w:color w:val="000000"/>
          <w:sz w:val="20"/>
        </w:rPr>
        <w:t xml:space="preserve">” </w:t>
      </w:r>
      <w:r>
        <w:rPr>
          <w:rFonts w:ascii="Times New Roman" w:hAnsi="Times New Roman"/>
          <w:color w:val="000000"/>
          <w:sz w:val="22"/>
        </w:rPr>
        <w:t>means, with respect to any Lender, at any time, the sum of the aggregate outstanding principal amount of such Lender’s Revolving Loans, its Swingline Exposure and LC Exposure at such time.</w:t>
      </w:r>
    </w:p>
    <w:p>
      <w:pPr>
        <w:pStyle w:val="TextBody"/>
        <w:bidi w:val="0"/>
        <w:spacing w:before="0" w:after="240"/>
        <w:jc w:val="both"/>
        <w:rPr/>
      </w:pPr>
      <w:r>
        <w:rPr>
          <w:color w:val="000000"/>
        </w:rPr>
        <w:t>“</w:t>
      </w:r>
      <w:r>
        <w:rPr>
          <w:rFonts w:ascii="Times New Roman" w:hAnsi="Times New Roman"/>
          <w:b/>
          <w:i/>
          <w:color w:val="000000"/>
          <w:sz w:val="22"/>
        </w:rPr>
        <w:t>Credit Party</w:t>
      </w:r>
      <w:r>
        <w:rPr>
          <w:rFonts w:ascii="Times New Roman" w:hAnsi="Times New Roman"/>
          <w:color w:val="000000"/>
          <w:sz w:val="20"/>
        </w:rPr>
        <w:t xml:space="preserve">” </w:t>
      </w:r>
      <w:r>
        <w:rPr>
          <w:rFonts w:ascii="Times New Roman" w:hAnsi="Times New Roman"/>
          <w:color w:val="000000"/>
          <w:sz w:val="22"/>
        </w:rPr>
        <w:t>means the Administrative Agent, the Swingline Lender, each Issuing Bank or any other Lender.</w:t>
      </w:r>
    </w:p>
    <w:p>
      <w:pPr>
        <w:pStyle w:val="TextBody"/>
        <w:bidi w:val="0"/>
        <w:spacing w:before="0" w:after="240"/>
        <w:jc w:val="both"/>
        <w:rPr/>
      </w:pPr>
      <w:r>
        <w:rPr>
          <w:color w:val="000000"/>
        </w:rPr>
        <w:t>“</w:t>
      </w:r>
      <w:r>
        <w:rPr>
          <w:rFonts w:ascii="Times New Roman" w:hAnsi="Times New Roman"/>
          <w:b/>
          <w:i/>
          <w:color w:val="000000"/>
          <w:sz w:val="22"/>
        </w:rPr>
        <w:t>Cumulative Credit</w:t>
      </w:r>
      <w:r>
        <w:rPr>
          <w:rFonts w:ascii="Times New Roman" w:hAnsi="Times New Roman"/>
          <w:color w:val="000000"/>
          <w:sz w:val="20"/>
        </w:rPr>
        <w:t xml:space="preserve">” </w:t>
      </w:r>
      <w:r>
        <w:rPr>
          <w:rFonts w:ascii="Times New Roman" w:hAnsi="Times New Roman"/>
          <w:color w:val="000000"/>
          <w:sz w:val="22"/>
        </w:rPr>
        <w:t>means, at any date, an amount, not less than zero in the aggregate, determined on a cumulative basis equal to, without duplication: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(ll)</w:t>
      </w:r>
    </w:p>
    <w:p>
      <w:pPr>
        <w:pStyle w:val="TextBody"/>
        <w:bidi w:val="0"/>
        <w:spacing w:before="0" w:after="240"/>
        <w:jc w:val="both"/>
        <w:rPr/>
      </w:pPr>
      <w:r>
        <w:rPr>
          <w:rFonts w:ascii="Times New Roman" w:hAnsi="Times New Roman"/>
          <w:color w:val="000000"/>
          <w:sz w:val="22"/>
        </w:rPr>
        <w:t xml:space="preserve">the greater of (i) $5,000,000 and (ii) 30% of Consolidated EBITDA as of the last day of the last Test Period (calculated on a Pro Forma Basis), </w:t>
      </w:r>
      <w:r>
        <w:rPr>
          <w:rFonts w:ascii="Times New Roman" w:hAnsi="Times New Roman"/>
          <w:i/>
          <w:color w:val="000000"/>
          <w:sz w:val="22"/>
        </w:rPr>
        <w:t>plus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(mm)</w:t>
      </w:r>
    </w:p>
    <w:p>
      <w:pPr>
        <w:pStyle w:val="TextBody"/>
        <w:bidi w:val="0"/>
        <w:spacing w:before="0" w:after="240"/>
        <w:jc w:val="both"/>
        <w:rPr/>
      </w:pPr>
      <w:r>
        <w:rPr>
          <w:rFonts w:ascii="Times New Roman" w:hAnsi="Times New Roman"/>
          <w:color w:val="000000"/>
          <w:sz w:val="22"/>
        </w:rPr>
        <w:t xml:space="preserve">an amount equal to 50% of Consolidated Net Income of the Borrower and its Subsidiaries for the period from the first day of the fiscal quarter of the Borrowerfor which a Compliance Certificate has been delivered pursuant to Section 5.01(c) to and including the last day of the most recently ended fiscal quarter of the Borrower in respect of which a Compliance Certificate has been delivered pursuant to </w:t>
      </w:r>
      <w:r>
        <w:rPr>
          <w:rFonts w:ascii="Times New Roman" w:hAnsi="Times New Roman"/>
          <w:color w:val="000000"/>
          <w:sz w:val="22"/>
          <w:u w:val="single"/>
        </w:rPr>
        <w:t>Section 5.01(c)</w:t>
      </w:r>
      <w:r>
        <w:rPr>
          <w:color w:val="000000"/>
        </w:rPr>
        <w:t xml:space="preserve"> </w:t>
      </w:r>
      <w:r>
        <w:rPr>
          <w:rFonts w:ascii="Times New Roman" w:hAnsi="Times New Roman"/>
          <w:color w:val="000000"/>
          <w:sz w:val="22"/>
        </w:rPr>
        <w:t xml:space="preserve">(which amount under this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shall not be less than zero), </w:t>
      </w:r>
      <w:r>
        <w:rPr>
          <w:rFonts w:ascii="Times New Roman" w:hAnsi="Times New Roman"/>
          <w:i/>
          <w:color w:val="000000"/>
          <w:sz w:val="22"/>
        </w:rPr>
        <w:t>plus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(nn)</w:t>
      </w:r>
    </w:p>
    <w:p>
      <w:pPr>
        <w:pStyle w:val="TextBody"/>
        <w:bidi w:val="0"/>
        <w:spacing w:before="0" w:after="240"/>
        <w:jc w:val="both"/>
        <w:rPr/>
      </w:pPr>
      <w:r>
        <w:rPr>
          <w:rFonts w:ascii="Times New Roman" w:hAnsi="Times New Roman"/>
          <w:color w:val="000000"/>
          <w:sz w:val="22"/>
        </w:rPr>
        <w:t xml:space="preserve">the cumulative amount of aggregate net proceeds from (i) the sale of Qualified Equity Interests of the Borrower or any direct or indirect parent of the Borrower after the Effective Date and on or prior to such time (including upon exercise of warrants or options) (other than (1) a sale to a Subsidiary that is not a Loan Party, (2) any amount designated as a Cure Amount, (3) the Gross IPO Proceeds, (4) [intentionally omitted], (5) any amount used for Equity Funded Employee Plan Costs) which proceeds have been contributed as equity to the capital of the Borrower or any Subsidiary and (ii) the Qualified Equity Interests of the Borrower (or Equity Interests of any other direct or indirect parent of the Borrower) (other than (1) any amount designated as a Cure Amount, (2) [intentionally omitted] or (3) any amount used for Equity Funded Employee Plan Costs) issued upon conversion of Indebtedness (other than Indebtedness that is contractually subordinated in right of payment to the Obligations) of the Borrower or any Subsidiary owed to a Person other than a Loan Party or a Subsidiary not previously applied for a purpose (including as a Cure Amount, or any amount used for Equity Funded Employee Plan Costs) other than use in the Cumulative Credit, </w:t>
      </w:r>
      <w:r>
        <w:rPr>
          <w:rFonts w:ascii="Times New Roman" w:hAnsi="Times New Roman"/>
          <w:i/>
          <w:color w:val="000000"/>
          <w:sz w:val="22"/>
        </w:rPr>
        <w:t>plus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(oo)</w:t>
      </w:r>
    </w:p>
    <w:p>
      <w:pPr>
        <w:pStyle w:val="TextBody"/>
        <w:bidi w:val="0"/>
        <w:spacing w:before="0" w:after="240"/>
        <w:jc w:val="both"/>
        <w:rPr/>
      </w:pPr>
      <w:r>
        <w:rPr>
          <w:rFonts w:ascii="Times New Roman" w:hAnsi="Times New Roman"/>
          <w:color w:val="000000"/>
          <w:sz w:val="22"/>
        </w:rPr>
        <w:t xml:space="preserve">100% of the aggregate amount of contributions to the capital (including 100% of the fair market value of property (other than cash and Permitted Investments) as reasonably determined by the Borrower) of the Borrower and any Subsidiary or the net proceeds of the issuance of Qualified Equity Interests of Borrower (or any other direct or indirect parent of the Borrower) contributed to the Borrower and any Subsidiary, received (x) in cash or Permitted Investments by the Borrower and any Subsidiary after the Effective Date (other than from a Subsidiary or the Borrower and other than (1) any amount designated as a Cure Amount, (2) [intentionally omitted], (3) [intentionally omitted] or (4) any amount used for Equity Funded Employee Plan Costs) or (y) in other property, </w:t>
      </w:r>
      <w:r>
        <w:rPr>
          <w:rFonts w:ascii="Times New Roman" w:hAnsi="Times New Roman"/>
          <w:i/>
          <w:color w:val="000000"/>
          <w:sz w:val="22"/>
        </w:rPr>
        <w:t>plus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100% of the aggregate amount of cash, Permitted Investments and the fair market value of other property received by the Borrower and any Subsidiary (as reasonably determined by the Borrower) after the Effective Date from:</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sale, transfer or other disposition of the Equity Interests or any assets of a Subsidiary that is not a Loan Party or any minority Investments or other joint venture (that is not a Loan Party),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dividend or other distribution by a Subsidiary that is not a Loan Party or received in respect of minority Investments or other joint venture (that is not a Loan Party),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interest, returns of principal, repayments and similar payments by such Subsidiary that is not a Loan Party or received in respect of any minority Investments,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(qq)</w:t>
      </w:r>
    </w:p>
    <w:p>
      <w:pPr>
        <w:pStyle w:val="TextBody"/>
        <w:bidi w:val="0"/>
        <w:spacing w:before="0" w:after="240"/>
        <w:jc w:val="both"/>
        <w:rPr/>
      </w:pPr>
      <w:r>
        <w:rPr>
          <w:rFonts w:ascii="Times New Roman" w:hAnsi="Times New Roman"/>
          <w:color w:val="000000"/>
          <w:sz w:val="22"/>
        </w:rPr>
        <w:t xml:space="preserve">in the event any Subsidiary that is not a Loan Party has been joined as a Loan Party or has been merged, consolidated or amalgamated with or into, or transfers or conveys its assets to, or is liquidated into, Borrower or any existing Loan Party, the fair market value of the Investments of the Borrower and the other Loan Parties made using the Cumulative Credit in such Subsidiary that is not a Loan Party at the time of such joinder, combination or transfer (or of the assets transferred or conveyed, as applicable), </w:t>
      </w:r>
      <w:r>
        <w:rPr>
          <w:rFonts w:ascii="Times New Roman" w:hAnsi="Times New Roman"/>
          <w:i/>
          <w:color w:val="000000"/>
          <w:sz w:val="22"/>
        </w:rPr>
        <w:t>plus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(rr)</w:t>
      </w:r>
    </w:p>
    <w:p>
      <w:pPr>
        <w:pStyle w:val="TextBody"/>
        <w:bidi w:val="0"/>
        <w:spacing w:before="0" w:after="240"/>
        <w:jc w:val="both"/>
        <w:rPr/>
      </w:pPr>
      <w:r>
        <w:rPr>
          <w:rFonts w:ascii="Times New Roman" w:hAnsi="Times New Roman"/>
          <w:color w:val="000000"/>
          <w:sz w:val="22"/>
        </w:rPr>
        <w:t xml:space="preserve">an amount equal to any returns in cash and Permitted Investments (including dividends, interest, distributions, returns of principal, profits on sale, repayments, income, the fair market value of property and similar amounts) actually received by the Borrower or any Loan Party in respect of any Investments to the extent of the Investments originally funded with and in reliance on the Cumulative Credit, </w:t>
      </w:r>
      <w:r>
        <w:rPr>
          <w:rFonts w:ascii="Times New Roman" w:hAnsi="Times New Roman"/>
          <w:i/>
          <w:color w:val="000000"/>
          <w:sz w:val="22"/>
        </w:rPr>
        <w:t>plus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(ss)</w:t>
      </w:r>
    </w:p>
    <w:p>
      <w:pPr>
        <w:pStyle w:val="TextBody"/>
        <w:bidi w:val="0"/>
        <w:spacing w:before="0" w:after="240"/>
        <w:jc w:val="both"/>
        <w:rPr/>
      </w:pPr>
      <w:r>
        <w:rPr>
          <w:rFonts w:ascii="Times New Roman" w:hAnsi="Times New Roman"/>
          <w:color w:val="000000"/>
          <w:sz w:val="22"/>
        </w:rPr>
        <w:t xml:space="preserve">the proceeds and the fair market value (as reasonably determined by the Borrower) of marketable securities or other property contributed to the Borrower or a Loan Party or contributed to the capital of the Borrower and further contributed to Borrower or a Loan Party as cash common equity since the Effective Date from any Person other than the Borrower or a Loan Party, </w:t>
      </w:r>
      <w:r>
        <w:rPr>
          <w:rFonts w:ascii="Times New Roman" w:hAnsi="Times New Roman"/>
          <w:i/>
          <w:color w:val="000000"/>
          <w:sz w:val="22"/>
        </w:rPr>
        <w:t>plus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(tt)</w:t>
      </w:r>
    </w:p>
    <w:p>
      <w:pPr>
        <w:pStyle w:val="TextBody"/>
        <w:bidi w:val="0"/>
        <w:spacing w:before="0" w:after="240"/>
        <w:jc w:val="both"/>
        <w:rPr/>
      </w:pPr>
      <w:r>
        <w:rPr>
          <w:rFonts w:ascii="Times New Roman" w:hAnsi="Times New Roman"/>
          <w:color w:val="000000"/>
          <w:sz w:val="22"/>
        </w:rPr>
        <w:t xml:space="preserve">[intentionally omitted], </w:t>
      </w:r>
      <w:r>
        <w:rPr>
          <w:rFonts w:ascii="Times New Roman" w:hAnsi="Times New Roman"/>
          <w:i/>
          <w:color w:val="000000"/>
          <w:sz w:val="22"/>
        </w:rPr>
        <w:t>minus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(uu)</w:t>
      </w:r>
    </w:p>
    <w:p>
      <w:pPr>
        <w:pStyle w:val="TextBody"/>
        <w:bidi w:val="0"/>
        <w:spacing w:before="0" w:after="240"/>
        <w:jc w:val="both"/>
        <w:rPr/>
      </w:pPr>
      <w:r>
        <w:rPr>
          <w:rFonts w:ascii="Times New Roman" w:hAnsi="Times New Roman"/>
          <w:color w:val="000000"/>
          <w:sz w:val="22"/>
        </w:rPr>
        <w:t xml:space="preserve">any amount of the Cumulative Credit used to make Investments pursuant to </w:t>
      </w:r>
      <w:r>
        <w:rPr>
          <w:rFonts w:ascii="Times New Roman" w:hAnsi="Times New Roman"/>
          <w:color w:val="000000"/>
          <w:sz w:val="22"/>
          <w:u w:val="single"/>
        </w:rPr>
        <w:t>Section 6.05(m)</w:t>
      </w:r>
      <w:r>
        <w:rPr>
          <w:color w:val="000000"/>
        </w:rPr>
        <w:t xml:space="preserve"> </w:t>
      </w:r>
      <w:r>
        <w:rPr>
          <w:rFonts w:ascii="Times New Roman" w:hAnsi="Times New Roman"/>
          <w:color w:val="000000"/>
          <w:sz w:val="22"/>
        </w:rPr>
        <w:t xml:space="preserve">after the Effective Date and prior to such time, </w:t>
      </w:r>
      <w:r>
        <w:rPr>
          <w:rFonts w:ascii="Times New Roman" w:hAnsi="Times New Roman"/>
          <w:i/>
          <w:color w:val="000000"/>
          <w:sz w:val="22"/>
        </w:rPr>
        <w:t>minus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(vv)</w:t>
      </w:r>
    </w:p>
    <w:p>
      <w:pPr>
        <w:pStyle w:val="TextBody"/>
        <w:bidi w:val="0"/>
        <w:spacing w:before="0" w:after="240"/>
        <w:jc w:val="both"/>
        <w:rPr/>
      </w:pPr>
      <w:r>
        <w:rPr>
          <w:rFonts w:ascii="Times New Roman" w:hAnsi="Times New Roman"/>
          <w:color w:val="000000"/>
          <w:sz w:val="22"/>
        </w:rPr>
        <w:t xml:space="preserve">any amount of the Cumulative Credit used to pay dividends or make distributions or other Restricted Payments pursuant to </w:t>
      </w:r>
      <w:r>
        <w:rPr>
          <w:rFonts w:ascii="Times New Roman" w:hAnsi="Times New Roman"/>
          <w:color w:val="000000"/>
          <w:sz w:val="22"/>
          <w:u w:val="single"/>
        </w:rPr>
        <w:t>Sections 6.07(a)(iii)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6.07(a)(viii)</w:t>
      </w:r>
      <w:r>
        <w:rPr>
          <w:color w:val="000000"/>
        </w:rPr>
        <w:t xml:space="preserve"> </w:t>
      </w:r>
      <w:r>
        <w:rPr>
          <w:rFonts w:ascii="Times New Roman" w:hAnsi="Times New Roman"/>
          <w:color w:val="000000"/>
          <w:sz w:val="22"/>
        </w:rPr>
        <w:t xml:space="preserve">after the Effective Date and prior to such time, </w:t>
      </w:r>
      <w:r>
        <w:rPr>
          <w:rFonts w:ascii="Times New Roman" w:hAnsi="Times New Roman"/>
          <w:i/>
          <w:color w:val="000000"/>
          <w:sz w:val="22"/>
        </w:rPr>
        <w:t>minus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(ww)</w:t>
      </w:r>
    </w:p>
    <w:p>
      <w:pPr>
        <w:pStyle w:val="TextBody"/>
        <w:bidi w:val="0"/>
        <w:spacing w:before="0" w:after="240"/>
        <w:jc w:val="both"/>
        <w:rPr/>
      </w:pPr>
      <w:r>
        <w:rPr>
          <w:rFonts w:ascii="Times New Roman" w:hAnsi="Times New Roman"/>
          <w:color w:val="000000"/>
          <w:sz w:val="22"/>
        </w:rPr>
        <w:t xml:space="preserve">any amount of the Cumulative Credit used to make payments or distributions in respect of Junior Indebtedness pursuant to </w:t>
      </w:r>
      <w:r>
        <w:rPr>
          <w:rFonts w:ascii="Times New Roman" w:hAnsi="Times New Roman"/>
          <w:color w:val="000000"/>
          <w:sz w:val="22"/>
          <w:u w:val="single"/>
        </w:rPr>
        <w:t>Section 6.07(a)(viii)</w:t>
      </w:r>
      <w:r>
        <w:rPr>
          <w:color w:val="000000"/>
        </w:rPr>
        <w:t xml:space="preserve"> </w:t>
      </w:r>
      <w:r>
        <w:rPr>
          <w:rFonts w:ascii="Times New Roman" w:hAnsi="Times New Roman"/>
          <w:color w:val="000000"/>
          <w:sz w:val="22"/>
        </w:rPr>
        <w:t xml:space="preserve">after the Effective Date and prior to such time, </w:t>
      </w:r>
      <w:r>
        <w:rPr>
          <w:rFonts w:ascii="Times New Roman" w:hAnsi="Times New Roman"/>
          <w:i/>
          <w:color w:val="000000"/>
          <w:sz w:val="22"/>
        </w:rPr>
        <w:t>minus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w:t>
      </w:r>
    </w:p>
    <w:p>
      <w:pPr>
        <w:pStyle w:val="TextBody"/>
        <w:bidi w:val="0"/>
        <w:spacing w:before="0" w:after="240"/>
        <w:jc w:val="both"/>
        <w:rPr/>
      </w:pPr>
      <w:r>
        <w:rPr>
          <w:rFonts w:ascii="Times New Roman" w:hAnsi="Times New Roman"/>
          <w:color w:val="000000"/>
          <w:sz w:val="22"/>
        </w:rPr>
        <w:t xml:space="preserve">[intentionally omitted], </w:t>
      </w:r>
      <w:r>
        <w:rPr>
          <w:rFonts w:ascii="Times New Roman" w:hAnsi="Times New Roman"/>
          <w:i/>
          <w:color w:val="000000"/>
          <w:sz w:val="22"/>
        </w:rPr>
        <w:t>minus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(yy)</w:t>
      </w:r>
    </w:p>
    <w:p>
      <w:pPr>
        <w:pStyle w:val="TextBody"/>
        <w:bidi w:val="0"/>
        <w:spacing w:before="0" w:after="240"/>
        <w:jc w:val="both"/>
        <w:rPr/>
      </w:pPr>
      <w:r>
        <w:rPr>
          <w:rFonts w:ascii="Times New Roman" w:hAnsi="Times New Roman"/>
          <w:color w:val="000000"/>
          <w:sz w:val="22"/>
        </w:rPr>
        <w:t xml:space="preserve">the aggregate amount of prepayments, redemptions, purchases, defeasances and other payments made in respect of Junior Indebtedness in reliance on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of </w:t>
      </w:r>
      <w:r>
        <w:rPr>
          <w:rFonts w:ascii="Times New Roman" w:hAnsi="Times New Roman"/>
          <w:color w:val="000000"/>
          <w:sz w:val="22"/>
          <w:u w:val="single"/>
        </w:rPr>
        <w:t>Section 6.07</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with respect to the amounts set forth in clauses </w:t>
      </w:r>
      <w:r>
        <w:rPr>
          <w:rFonts w:ascii="Times New Roman" w:hAnsi="Times New Roman"/>
          <w:color w:val="000000"/>
          <w:sz w:val="22"/>
          <w:u w:val="single"/>
        </w:rPr>
        <w:t>(e)(i)</w:t>
      </w:r>
      <w:r>
        <w:rPr>
          <w:rFonts w:ascii="Times New Roman" w:hAnsi="Times New Roman"/>
          <w:color w:val="000000"/>
          <w:sz w:val="22"/>
        </w:rPr>
        <w:t xml:space="preserve">, </w:t>
      </w:r>
      <w:r>
        <w:rPr>
          <w:rFonts w:ascii="Times New Roman" w:hAnsi="Times New Roman"/>
          <w:color w:val="000000"/>
          <w:sz w:val="22"/>
          <w:u w:val="single"/>
        </w:rPr>
        <w:t>(e)(ii)</w:t>
      </w:r>
      <w:r>
        <w:rPr>
          <w:rFonts w:ascii="Times New Roman" w:hAnsi="Times New Roman"/>
          <w:color w:val="000000"/>
          <w:sz w:val="22"/>
        </w:rPr>
        <w:t xml:space="preserve">, </w:t>
      </w:r>
      <w:r>
        <w:rPr>
          <w:rFonts w:ascii="Times New Roman" w:hAnsi="Times New Roman"/>
          <w:color w:val="000000"/>
          <w:sz w:val="22"/>
          <w:u w:val="single"/>
        </w:rPr>
        <w:t>(e)(iii)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(f)</w:t>
      </w:r>
      <w:r>
        <w:rPr>
          <w:color w:val="000000"/>
        </w:rPr>
        <w:t xml:space="preserve"> </w:t>
      </w:r>
      <w:r>
        <w:rPr>
          <w:rFonts w:ascii="Times New Roman" w:hAnsi="Times New Roman"/>
          <w:color w:val="000000"/>
          <w:sz w:val="22"/>
        </w:rPr>
        <w:t>of this definition, such amount shall be limited to the Investments made in such Subsidiary that is not a Loan Party, minority Investments or other joint venture, as applicable, originally funded with and in reliance on the Cumulative Credit.</w:t>
      </w:r>
    </w:p>
    <w:p>
      <w:pPr>
        <w:pStyle w:val="TextBody"/>
        <w:bidi w:val="0"/>
        <w:spacing w:before="0" w:after="240"/>
        <w:jc w:val="both"/>
        <w:rPr/>
      </w:pPr>
      <w:r>
        <w:rPr>
          <w:color w:val="000000"/>
        </w:rPr>
        <w:t>“</w:t>
      </w:r>
      <w:r>
        <w:rPr>
          <w:rFonts w:ascii="Times New Roman" w:hAnsi="Times New Roman"/>
          <w:b/>
          <w:i/>
          <w:color w:val="000000"/>
          <w:sz w:val="22"/>
        </w:rPr>
        <w:t>Daily Simple SOFR</w:t>
      </w:r>
      <w:r>
        <w:rPr>
          <w:rFonts w:ascii="Times New Roman" w:hAnsi="Times New Roman"/>
          <w:color w:val="000000"/>
          <w:sz w:val="20"/>
        </w:rPr>
        <w:t xml:space="preserve">” </w:t>
      </w:r>
      <w:r>
        <w:rPr>
          <w:rFonts w:ascii="Times New Roman" w:hAnsi="Times New Roman"/>
          <w:color w:val="000000"/>
          <w:sz w:val="22"/>
        </w:rPr>
        <w:t>means, for any day, (a “</w:t>
      </w:r>
      <w:r>
        <w:rPr>
          <w:rFonts w:ascii="Times New Roman" w:hAnsi="Times New Roman"/>
          <w:b/>
          <w:i/>
          <w:color w:val="000000"/>
          <w:sz w:val="22"/>
        </w:rPr>
        <w:t>SOFR Rate Day</w:t>
      </w:r>
      <w:r>
        <w:rPr>
          <w:rFonts w:ascii="Times New Roman" w:hAnsi="Times New Roman"/>
          <w:color w:val="000000"/>
          <w:sz w:val="20"/>
        </w:rPr>
        <w:t>”</w:t>
      </w:r>
      <w:r>
        <w:rPr>
          <w:rFonts w:ascii="Times New Roman" w:hAnsi="Times New Roman"/>
          <w:color w:val="000000"/>
          <w:sz w:val="22"/>
        </w:rPr>
        <w:t>), a rate per annum equal to SOFR for the day (such day “</w:t>
      </w:r>
      <w:r>
        <w:rPr>
          <w:rFonts w:ascii="Times New Roman" w:hAnsi="Times New Roman"/>
          <w:b/>
          <w:i/>
          <w:color w:val="000000"/>
          <w:sz w:val="22"/>
        </w:rPr>
        <w:t>SOFR Determination Date</w:t>
      </w:r>
      <w:r>
        <w:rPr>
          <w:rFonts w:ascii="Times New Roman" w:hAnsi="Times New Roman"/>
          <w:color w:val="000000"/>
          <w:sz w:val="20"/>
        </w:rPr>
        <w:t>”</w:t>
      </w:r>
      <w:r>
        <w:rPr>
          <w:rFonts w:ascii="Times New Roman" w:hAnsi="Times New Roman"/>
          <w:color w:val="000000"/>
          <w:sz w:val="22"/>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pStyle w:val="TextBody"/>
        <w:bidi w:val="0"/>
        <w:spacing w:before="0" w:after="240"/>
        <w:jc w:val="both"/>
        <w:rPr/>
      </w:pPr>
      <w:r>
        <w:rPr>
          <w:color w:val="000000"/>
        </w:rPr>
        <w:t>“</w:t>
      </w:r>
      <w:r>
        <w:rPr>
          <w:rFonts w:ascii="Times New Roman" w:hAnsi="Times New Roman"/>
          <w:b/>
          <w:i/>
          <w:color w:val="000000"/>
          <w:sz w:val="22"/>
        </w:rPr>
        <w:t>Debtor Relief Laws</w:t>
      </w:r>
      <w:r>
        <w:rPr>
          <w:rFonts w:ascii="Times New Roman" w:hAnsi="Times New Roman"/>
          <w:color w:val="000000"/>
          <w:sz w:val="20"/>
        </w:rPr>
        <w:t xml:space="preserve">” </w:t>
      </w:r>
      <w:r>
        <w:rPr>
          <w:rFonts w:ascii="Times New Roman" w:hAnsi="Times New Roman"/>
          <w:color w:val="000000"/>
          <w:sz w:val="22"/>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jc w:val="both"/>
        <w:rPr/>
      </w:pPr>
      <w:r>
        <w:rPr>
          <w:color w:val="000000"/>
        </w:rPr>
        <w:t>“</w:t>
      </w:r>
      <w:r>
        <w:rPr>
          <w:rFonts w:ascii="Times New Roman" w:hAnsi="Times New Roman"/>
          <w:b/>
          <w:i/>
          <w:color w:val="000000"/>
          <w:sz w:val="22"/>
        </w:rPr>
        <w:t>Default</w:t>
      </w:r>
      <w:r>
        <w:rPr>
          <w:rFonts w:ascii="Times New Roman" w:hAnsi="Times New Roman"/>
          <w:color w:val="000000"/>
          <w:sz w:val="20"/>
        </w:rPr>
        <w:t xml:space="preserve">” </w:t>
      </w:r>
      <w:r>
        <w:rPr>
          <w:rFonts w:ascii="Times New Roman" w:hAnsi="Times New Roman"/>
          <w:color w:val="000000"/>
          <w:sz w:val="22"/>
        </w:rPr>
        <w:t>means any event or condition which constitutes an Event of Default or which upon notice, lapse of time or both would, unless cured or waived hereunder, become an Event of Default.</w:t>
      </w:r>
    </w:p>
    <w:p>
      <w:pPr>
        <w:pStyle w:val="TextBody"/>
        <w:bidi w:val="0"/>
        <w:spacing w:before="0" w:after="240"/>
        <w:jc w:val="both"/>
        <w:rPr/>
      </w:pPr>
      <w:r>
        <w:rPr>
          <w:color w:val="000000"/>
        </w:rPr>
        <w:t>“</w:t>
      </w:r>
      <w:r>
        <w:rPr>
          <w:rFonts w:ascii="Times New Roman" w:hAnsi="Times New Roman"/>
          <w:b/>
          <w:i/>
          <w:color w:val="000000"/>
          <w:sz w:val="22"/>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Times New Roman" w:hAnsi="Times New Roman"/>
          <w:b/>
          <w:i/>
          <w:color w:val="000000"/>
          <w:sz w:val="22"/>
        </w:rPr>
        <w:t>Defaulting Lender</w:t>
      </w:r>
      <w:r>
        <w:rPr>
          <w:rFonts w:ascii="Times New Roman" w:hAnsi="Times New Roman"/>
          <w:color w:val="000000"/>
          <w:sz w:val="20"/>
        </w:rPr>
        <w:t xml:space="preserve">” </w:t>
      </w:r>
      <w:r>
        <w:rPr>
          <w:rFonts w:ascii="Times New Roman" w:hAnsi="Times New Roman"/>
          <w:color w:val="000000"/>
          <w:sz w:val="22"/>
        </w:rPr>
        <w:t>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Times New Roman" w:hAnsi="Times New Roman"/>
          <w:i/>
          <w:color w:val="000000"/>
          <w:sz w:val="22"/>
        </w:rPr>
        <w:t xml:space="preserve">provided </w:t>
      </w:r>
      <w:r>
        <w:rPr>
          <w:rFonts w:ascii="Times New Roman" w:hAnsi="Times New Roman"/>
          <w:color w:val="000000"/>
          <w:sz w:val="22"/>
        </w:rPr>
        <w:t>that such Lender shall cease to be a Defaulting Lender pursuant to this clause (c) upon such Credit Party’s receipt of such certification in form and substance satisfactory to it and the Administrative Agent and Borrower, (d) has become the subject of (A) a Bankruptcy Event or (B) a Bail-In Action or (e) is a Net Short Lender.</w:t>
      </w:r>
    </w:p>
    <w:p>
      <w:pPr>
        <w:pStyle w:val="TextBody"/>
        <w:bidi w:val="0"/>
        <w:spacing w:before="0" w:after="240"/>
        <w:jc w:val="both"/>
        <w:rPr/>
      </w:pPr>
      <w:r>
        <w:rPr>
          <w:color w:val="000000"/>
        </w:rPr>
        <w:t>“</w:t>
      </w:r>
      <w:r>
        <w:rPr>
          <w:rFonts w:ascii="Times New Roman" w:hAnsi="Times New Roman"/>
          <w:b/>
          <w:i/>
          <w:color w:val="000000"/>
          <w:sz w:val="22"/>
        </w:rPr>
        <w:t>Disposition</w:t>
      </w:r>
      <w:r>
        <w:rPr>
          <w:rFonts w:ascii="Times New Roman" w:hAnsi="Times New Roman"/>
          <w:color w:val="000000"/>
          <w:sz w:val="20"/>
        </w:rPr>
        <w:t xml:space="preserve">” </w:t>
      </w:r>
      <w:r>
        <w:rPr>
          <w:rFonts w:ascii="Times New Roman" w:hAnsi="Times New Roman"/>
          <w:b/>
          <w:i/>
          <w:color w:val="000000"/>
          <w:sz w:val="22"/>
        </w:rPr>
        <w:t xml:space="preserve">or </w:t>
      </w:r>
      <w:r>
        <w:rPr>
          <w:rFonts w:ascii="Times New Roman" w:hAnsi="Times New Roman"/>
          <w:color w:val="000000"/>
          <w:sz w:val="20"/>
        </w:rPr>
        <w:t>“</w:t>
      </w:r>
      <w:r>
        <w:rPr>
          <w:rFonts w:ascii="Times New Roman" w:hAnsi="Times New Roman"/>
          <w:b/>
          <w:i/>
          <w:color w:val="000000"/>
          <w:sz w:val="22"/>
        </w:rPr>
        <w:t>Dispose</w:t>
      </w:r>
      <w:r>
        <w:rPr>
          <w:rFonts w:ascii="Times New Roman" w:hAnsi="Times New Roman"/>
          <w:color w:val="000000"/>
          <w:sz w:val="20"/>
        </w:rPr>
        <w:t xml:space="preserve">” </w:t>
      </w:r>
      <w:r>
        <w:rPr>
          <w:rFonts w:ascii="Times New Roman" w:hAnsi="Times New Roman"/>
          <w:color w:val="000000"/>
          <w:sz w:val="22"/>
        </w:rPr>
        <w:t>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pStyle w:val="TextBody"/>
        <w:bidi w:val="0"/>
        <w:spacing w:before="0" w:after="240"/>
        <w:jc w:val="both"/>
        <w:rPr/>
      </w:pPr>
      <w:r>
        <w:rPr>
          <w:color w:val="000000"/>
        </w:rPr>
        <w:t>“</w:t>
      </w:r>
      <w:r>
        <w:rPr>
          <w:rFonts w:ascii="Times New Roman" w:hAnsi="Times New Roman"/>
          <w:b/>
          <w:i/>
          <w:color w:val="000000"/>
          <w:sz w:val="22"/>
        </w:rPr>
        <w:t>Disqualified Equity Interests</w:t>
      </w:r>
      <w:r>
        <w:rPr>
          <w:rFonts w:ascii="Times New Roman" w:hAnsi="Times New Roman"/>
          <w:color w:val="000000"/>
          <w:sz w:val="20"/>
        </w:rPr>
        <w:t xml:space="preserve">” </w:t>
      </w:r>
      <w:r>
        <w:rPr>
          <w:rFonts w:ascii="Times New Roman" w:hAnsi="Times New Roman"/>
          <w:color w:val="000000"/>
          <w:sz w:val="22"/>
        </w:rPr>
        <w:t xml:space="preserve">means Equity Interests that by their terms (or by the terms of any security into which they are convertible or for which they are exchangeable), or upon the happening of any event, (a) require the payment of any dividends (other than dividends payable solely in shares of Qualified Equity Interests), (b) mature or are mandatorily redeemable or subject to mandatory repurchase or redemption or repurchase at the option of the holders thereof (other than solely for Equity Interests in such Person or the Borrower that do not constitute Disqualified Equity Interests and cash in lieu of fractional shares of such Equity Interests), in whole or in part and whether upon the occurrence of any event, pursuant to a sinking fund obligation, on a fixed date or otherwise, prior to the date that is ninety one (91) days following the then Latest Maturity Date at such time (other than upon (i) a “change in control” or (ii) an asset sale or similar event; </w:t>
      </w:r>
      <w:r>
        <w:rPr>
          <w:rFonts w:ascii="Times New Roman" w:hAnsi="Times New Roman"/>
          <w:i/>
          <w:color w:val="000000"/>
          <w:sz w:val="22"/>
        </w:rPr>
        <w:t xml:space="preserve">provided </w:t>
      </w:r>
      <w:r>
        <w:rPr>
          <w:rFonts w:ascii="Times New Roman" w:hAnsi="Times New Roman"/>
          <w:color w:val="000000"/>
          <w:sz w:val="22"/>
        </w:rPr>
        <w:t xml:space="preserve">that such “change in control”, asset sale or similar event results in the prior Payment in Full, or (c) are convertible or exchangeable, automatically or at the sole option of any holder thereof, into any debt securities or any Equity Interest (other than solely for Equity Interests in such Person or the Borrower that do not constitute Disqualified Equity Interests and cash in lieu of fractional shares of such Equity Interests) referred to in clause (a) or (b) above, prior to the date that is ninety one (91) days following the then Latest Maturity Date at such time;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if such Equity Interests are issued pursuant to a plan for the benefit of employees, officers, directors, managers or consultants of Holdings (or any direct or indirect parent thereof), the Borrower or the Subsidiaries or by any such plan to such employees, officers, directors, managers or consultants, such Equity Interests shall not constitute Disqualified Equity Interests solely because it may be required to be repurchased by Borrower (or any direct or indirect parent thereof) or its Subsidiaries in order to satisfy applicable statutory or regulatory obligations or as a result of the termination, death or disability of such employees, officers, directors, managers or consultants.</w:t>
      </w:r>
    </w:p>
    <w:p>
      <w:pPr>
        <w:pStyle w:val="TextBody"/>
        <w:bidi w:val="0"/>
        <w:spacing w:before="0" w:after="240"/>
        <w:jc w:val="both"/>
        <w:rPr/>
      </w:pPr>
      <w:r>
        <w:rPr>
          <w:color w:val="000000"/>
        </w:rPr>
        <w:t>“</w:t>
      </w:r>
      <w:r>
        <w:rPr>
          <w:rFonts w:ascii="Times New Roman" w:hAnsi="Times New Roman"/>
          <w:b/>
          <w:i/>
          <w:color w:val="000000"/>
          <w:sz w:val="22"/>
        </w:rPr>
        <w:t>Disqualified Lender</w:t>
      </w:r>
      <w:r>
        <w:rPr>
          <w:rFonts w:ascii="Times New Roman" w:hAnsi="Times New Roman"/>
          <w:color w:val="000000"/>
          <w:sz w:val="20"/>
        </w:rPr>
        <w:t xml:space="preserve">” </w:t>
      </w:r>
      <w:r>
        <w:rPr>
          <w:rFonts w:ascii="Times New Roman" w:hAnsi="Times New Roman"/>
          <w:color w:val="000000"/>
          <w:sz w:val="22"/>
        </w:rPr>
        <w:t>means banks, financial institutions, institutional lenders or any other persons: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(i) that have been specified to the Administrative Agent by the Borrower in writing at any time on or prior to the Effective Date (“</w:t>
      </w:r>
      <w:r>
        <w:rPr>
          <w:rFonts w:ascii="Times New Roman" w:hAnsi="Times New Roman"/>
          <w:b/>
          <w:i/>
          <w:color w:val="000000"/>
          <w:sz w:val="22"/>
        </w:rPr>
        <w:t>Primary DQ Entity</w:t>
      </w:r>
      <w:r>
        <w:rPr>
          <w:rFonts w:ascii="Times New Roman" w:hAnsi="Times New Roman"/>
          <w:color w:val="000000"/>
          <w:sz w:val="20"/>
        </w:rPr>
        <w:t>”</w:t>
      </w:r>
      <w:r>
        <w:rPr>
          <w:rFonts w:ascii="Times New Roman" w:hAnsi="Times New Roman"/>
          <w:color w:val="000000"/>
          <w:sz w:val="22"/>
        </w:rPr>
        <w:t>) or (ii) any affiliates of such Primary DQ Entity to the extent (x) readily identifiable as an affiliate thereof on the basis of such affiliate’s name or (y) the Borrower has provided written notification thereof to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(i) that constitute bona fide competitors of the Borrower or any of its Subsidiaries to the extent identified by the Borrower to the Administrative Agent in writing prior to the Effective Date, or (ii) any affiliates of such bona fide competitors (and in each case other than a bona fide competitor’s debt fund</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affiliate, unless otherwise specified pursuant to clause (a) hereof) that are (x) readily identifiable on the basis of such affiliate’s name or (y) the Borrower has provided written notification thereof to the Administrative Agent;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(zz)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Excluded Affiliates.</w:t>
      </w:r>
    </w:p>
    <w:p>
      <w:pPr>
        <w:pStyle w:val="TextBody"/>
        <w:bidi w:val="0"/>
        <w:spacing w:before="0" w:after="24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that (i) no written notice delivered pursuant to clauses (a)(ii)(y), (b)(i) and/or (b)(ii)(y) above shall become effective until two (2) Business Days after such designation is delivered pursuant to the terms of this definition and (ii) the foregoing shall not apply retroactively to disqualify any parties that have previously been allocated a portion of the facilities hereunder or acquired an assignment or participation interest in the facilities hereunder to the extent such party was not a Disqualified Lender at the time of the applicable allocation, assignment or participation, as the case may be.</w:t>
      </w:r>
    </w:p>
    <w:p>
      <w:pPr>
        <w:pStyle w:val="TextBody"/>
        <w:bidi w:val="0"/>
        <w:spacing w:before="0" w:after="240"/>
        <w:jc w:val="both"/>
        <w:rPr/>
      </w:pPr>
      <w:r>
        <w:rPr>
          <w:color w:val="000000"/>
        </w:rPr>
        <w:t>“</w:t>
      </w:r>
      <w:r>
        <w:rPr>
          <w:rFonts w:ascii="Times New Roman" w:hAnsi="Times New Roman"/>
          <w:b/>
          <w:i/>
          <w:color w:val="000000"/>
          <w:sz w:val="22"/>
        </w:rPr>
        <w:t>Dividing Person</w:t>
      </w:r>
      <w:r>
        <w:rPr>
          <w:rFonts w:ascii="Times New Roman" w:hAnsi="Times New Roman"/>
          <w:color w:val="000000"/>
          <w:sz w:val="20"/>
        </w:rPr>
        <w:t xml:space="preserve">” </w:t>
      </w:r>
      <w:r>
        <w:rPr>
          <w:rFonts w:ascii="Times New Roman" w:hAnsi="Times New Roman"/>
          <w:color w:val="000000"/>
          <w:sz w:val="22"/>
        </w:rPr>
        <w:t>has the meaning assigned to it in the definition of “Division.”</w:t>
      </w:r>
    </w:p>
    <w:p>
      <w:pPr>
        <w:pStyle w:val="TextBody"/>
        <w:bidi w:val="0"/>
        <w:spacing w:before="0" w:after="240"/>
        <w:jc w:val="both"/>
        <w:rPr/>
      </w:pPr>
      <w:r>
        <w:rPr>
          <w:color w:val="000000"/>
        </w:rPr>
        <w:t>“</w:t>
      </w:r>
      <w:r>
        <w:rPr>
          <w:rFonts w:ascii="Times New Roman" w:hAnsi="Times New Roman"/>
          <w:b/>
          <w:i/>
          <w:color w:val="000000"/>
          <w:sz w:val="22"/>
        </w:rPr>
        <w:t>Division</w:t>
      </w:r>
      <w:r>
        <w:rPr>
          <w:rFonts w:ascii="Times New Roman" w:hAnsi="Times New Roman"/>
          <w:color w:val="000000"/>
          <w:sz w:val="20"/>
        </w:rPr>
        <w:t xml:space="preserve">” </w:t>
      </w:r>
      <w:r>
        <w:rPr>
          <w:rFonts w:ascii="Times New Roman" w:hAnsi="Times New Roman"/>
          <w:color w:val="000000"/>
          <w:sz w:val="22"/>
        </w:rPr>
        <w:t>means the division of the assets, liabilities and/or obligations of a Person (the “</w:t>
      </w:r>
      <w:r>
        <w:rPr>
          <w:rFonts w:ascii="Times New Roman" w:hAnsi="Times New Roman"/>
          <w:b/>
          <w:i/>
          <w:color w:val="000000"/>
          <w:sz w:val="22"/>
        </w:rPr>
        <w:t>Dividing Person</w:t>
      </w:r>
      <w:r>
        <w:rPr>
          <w:rFonts w:ascii="Times New Roman" w:hAnsi="Times New Roman"/>
          <w:color w:val="000000"/>
          <w:sz w:val="20"/>
        </w:rPr>
        <w:t>”</w:t>
      </w:r>
      <w:r>
        <w:rPr>
          <w:rFonts w:ascii="Times New Roman" w:hAnsi="Times New Roman"/>
          <w:color w:val="000000"/>
          <w:sz w:val="22"/>
        </w:rPr>
        <w:t>) among two or more Persons (whether pursuant to a “plan of division” or similar arrangement), which may or may not include the Dividing Person and pursuant to which the Dividing Person may or may not survive.</w:t>
      </w:r>
    </w:p>
    <w:p>
      <w:pPr>
        <w:pStyle w:val="TextBody"/>
        <w:bidi w:val="0"/>
        <w:spacing w:before="0" w:after="240"/>
        <w:jc w:val="both"/>
        <w:rPr/>
      </w:pPr>
      <w:r>
        <w:rPr>
          <w:color w:val="000000"/>
        </w:rPr>
        <w:t>“</w:t>
      </w:r>
      <w:r>
        <w:rPr>
          <w:rFonts w:ascii="Times New Roman" w:hAnsi="Times New Roman"/>
          <w:b/>
          <w:i/>
          <w:color w:val="000000"/>
          <w:sz w:val="22"/>
        </w:rPr>
        <w:t>Division Successor</w:t>
      </w:r>
      <w:r>
        <w:rPr>
          <w:rFonts w:ascii="Times New Roman" w:hAnsi="Times New Roman"/>
          <w:color w:val="000000"/>
          <w:sz w:val="20"/>
        </w:rPr>
        <w:t xml:space="preserve">” </w:t>
      </w:r>
      <w:r>
        <w:rPr>
          <w:rFonts w:ascii="Times New Roman" w:hAnsi="Times New Roman"/>
          <w:color w:val="000000"/>
          <w:sz w:val="22"/>
        </w:rPr>
        <w:t>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before="0" w:after="240"/>
        <w:jc w:val="both"/>
        <w:rPr/>
      </w:pPr>
      <w:r>
        <w:rPr>
          <w:color w:val="000000"/>
        </w:rPr>
        <w:t>“</w:t>
      </w:r>
      <w:r>
        <w:rPr>
          <w:rFonts w:ascii="Times New Roman" w:hAnsi="Times New Roman"/>
          <w:b/>
          <w:i/>
          <w:color w:val="000000"/>
          <w:sz w:val="22"/>
        </w:rPr>
        <w:t>Dollars</w:t>
      </w:r>
      <w:r>
        <w:rPr>
          <w:rFonts w:ascii="Times New Roman" w:hAnsi="Times New Roman"/>
          <w:color w:val="000000"/>
          <w:sz w:val="20"/>
        </w:rPr>
        <w:t>”</w:t>
      </w:r>
      <w:r>
        <w:rPr>
          <w:rFonts w:ascii="Times New Roman" w:hAnsi="Times New Roman"/>
          <w:color w:val="000000"/>
          <w:sz w:val="22"/>
        </w:rPr>
        <w:t>, “</w:t>
      </w:r>
      <w:r>
        <w:rPr>
          <w:rFonts w:ascii="Times New Roman" w:hAnsi="Times New Roman"/>
          <w:b/>
          <w:i/>
          <w:color w:val="000000"/>
          <w:sz w:val="22"/>
        </w:rPr>
        <w:t>dollars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w:t>
      </w:r>
      <w:r>
        <w:rPr>
          <w:rFonts w:ascii="Times New Roman" w:hAnsi="Times New Roman"/>
          <w:color w:val="000000"/>
          <w:sz w:val="20"/>
        </w:rPr>
        <w:t xml:space="preserve">” </w:t>
      </w:r>
      <w:r>
        <w:rPr>
          <w:rFonts w:ascii="Times New Roman" w:hAnsi="Times New Roman"/>
          <w:color w:val="000000"/>
          <w:sz w:val="22"/>
        </w:rPr>
        <w:t>refers to lawful money of the U.S.</w:t>
      </w:r>
    </w:p>
    <w:p>
      <w:pPr>
        <w:pStyle w:val="TextBody"/>
        <w:bidi w:val="0"/>
        <w:spacing w:before="0" w:after="240"/>
        <w:jc w:val="both"/>
        <w:rPr/>
      </w:pPr>
      <w:r>
        <w:rPr>
          <w:color w:val="000000"/>
        </w:rPr>
        <w:t>“</w:t>
      </w:r>
      <w:r>
        <w:rPr>
          <w:rFonts w:ascii="Times New Roman" w:hAnsi="Times New Roman"/>
          <w:b/>
          <w:i/>
          <w:color w:val="000000"/>
          <w:sz w:val="22"/>
        </w:rPr>
        <w:t>Domestic Subsidiary</w:t>
      </w:r>
      <w:r>
        <w:rPr>
          <w:rFonts w:ascii="Times New Roman" w:hAnsi="Times New Roman"/>
          <w:color w:val="000000"/>
          <w:sz w:val="20"/>
        </w:rPr>
        <w:t xml:space="preserve">” </w:t>
      </w:r>
      <w:r>
        <w:rPr>
          <w:rFonts w:ascii="Times New Roman" w:hAnsi="Times New Roman"/>
          <w:color w:val="000000"/>
          <w:sz w:val="22"/>
        </w:rPr>
        <w:t>means a Subsidiary of the Borrower or any other Loan Party to the extent such Subsidiary is organized under the laws of the U.S., any state thereof or the District of Columbia.</w:t>
      </w:r>
    </w:p>
    <w:p>
      <w:pPr>
        <w:pStyle w:val="TextBody"/>
        <w:bidi w:val="0"/>
        <w:spacing w:before="0" w:after="240"/>
        <w:jc w:val="both"/>
        <w:rPr/>
      </w:pPr>
      <w:r>
        <w:rPr>
          <w:color w:val="000000"/>
        </w:rPr>
        <w:t>“</w:t>
      </w:r>
      <w:r>
        <w:rPr>
          <w:rFonts w:ascii="Times New Roman" w:hAnsi="Times New Roman"/>
          <w:b/>
          <w:i/>
          <w:color w:val="000000"/>
          <w:sz w:val="22"/>
        </w:rPr>
        <w:t>ECP</w:t>
      </w:r>
      <w:r>
        <w:rPr>
          <w:rFonts w:ascii="Times New Roman" w:hAnsi="Times New Roman"/>
          <w:color w:val="000000"/>
          <w:sz w:val="20"/>
        </w:rPr>
        <w:t xml:space="preserve">” </w:t>
      </w:r>
      <w:r>
        <w:rPr>
          <w:rFonts w:ascii="Times New Roman" w:hAnsi="Times New Roman"/>
          <w:color w:val="000000"/>
          <w:sz w:val="22"/>
        </w:rPr>
        <w:t xml:space="preserve">means an “eligible contract participant” as defined in </w:t>
      </w:r>
      <w:r>
        <w:rPr>
          <w:rFonts w:ascii="Times New Roman" w:hAnsi="Times New Roman"/>
          <w:color w:val="000000"/>
          <w:sz w:val="22"/>
          <w:u w:val="single"/>
        </w:rPr>
        <w:t>Section 1(a)(18)</w:t>
      </w:r>
      <w:r>
        <w:rPr>
          <w:rFonts w:ascii="Times New Roman" w:hAnsi="Times New Roman"/>
          <w:color w:val="000000"/>
          <w:sz w:val="20"/>
        </w:rPr>
        <w:t xml:space="preserve"> </w:t>
      </w:r>
      <w:r>
        <w:rPr>
          <w:rFonts w:ascii="Times New Roman" w:hAnsi="Times New Roman"/>
          <w:color w:val="000000"/>
          <w:sz w:val="22"/>
        </w:rPr>
        <w:t>of the Commodity Exchange Act or any regulations promulgated thereunder and the applicable rules issued by the Commodity Futures Trading Commission and/or the SEC.</w:t>
      </w:r>
    </w:p>
    <w:p>
      <w:pPr>
        <w:pStyle w:val="TextBody"/>
        <w:bidi w:val="0"/>
        <w:spacing w:before="0" w:after="240"/>
        <w:jc w:val="both"/>
        <w:rPr/>
      </w:pPr>
      <w:r>
        <w:rPr>
          <w:color w:val="000000"/>
        </w:rPr>
        <w:t>“</w:t>
      </w:r>
      <w:r>
        <w:rPr>
          <w:rFonts w:ascii="Times New Roman" w:hAnsi="Times New Roman"/>
          <w:b/>
          <w:i/>
          <w:color w:val="000000"/>
          <w:sz w:val="22"/>
        </w:rPr>
        <w:t>EEA Financial Institution</w:t>
      </w:r>
      <w:r>
        <w:rPr>
          <w:rFonts w:ascii="Times New Roman" w:hAnsi="Times New Roman"/>
          <w:color w:val="000000"/>
          <w:sz w:val="20"/>
        </w:rPr>
        <w:t xml:space="preserve">” </w:t>
      </w:r>
      <w:r>
        <w:rPr>
          <w:rFonts w:ascii="Times New Roman" w:hAnsi="Times New Roman"/>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b/>
          <w:i/>
          <w:color w:val="000000"/>
          <w:sz w:val="22"/>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b/>
          <w:i/>
          <w:color w:val="000000"/>
          <w:sz w:val="22"/>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Effective Date</w:t>
      </w:r>
      <w:r>
        <w:rPr>
          <w:rFonts w:ascii="Times New Roman" w:hAnsi="Times New Roman"/>
          <w:color w:val="000000"/>
          <w:sz w:val="20"/>
        </w:rPr>
        <w:t xml:space="preserve">” </w:t>
      </w:r>
      <w:r>
        <w:rPr>
          <w:rFonts w:ascii="Times New Roman" w:hAnsi="Times New Roman"/>
          <w:color w:val="000000"/>
          <w:sz w:val="22"/>
        </w:rPr>
        <w:t xml:space="preserve">means the date on which the conditions specified in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are satisfied (or waived in accordance with </w:t>
      </w:r>
      <w:r>
        <w:rPr>
          <w:rFonts w:ascii="Times New Roman" w:hAnsi="Times New Roman"/>
          <w:color w:val="000000"/>
          <w:sz w:val="22"/>
          <w:u w:val="single"/>
        </w:rPr>
        <w:t>Section 9.02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before="0" w:after="240"/>
        <w:jc w:val="both"/>
        <w:rPr/>
      </w:pPr>
      <w:r>
        <w:rPr>
          <w:color w:val="000000"/>
        </w:rPr>
        <w:t>“</w:t>
      </w:r>
      <w:r>
        <w:rPr>
          <w:rFonts w:ascii="Times New Roman" w:hAnsi="Times New Roman"/>
          <w:b/>
          <w:i/>
          <w:color w:val="000000"/>
          <w:sz w:val="22"/>
        </w:rPr>
        <w:t>Environmental Laws</w:t>
      </w:r>
      <w:r>
        <w:rPr>
          <w:rFonts w:ascii="Times New Roman" w:hAnsi="Times New Roman"/>
          <w:color w:val="000000"/>
          <w:sz w:val="20"/>
        </w:rPr>
        <w:t xml:space="preserve">” </w:t>
      </w:r>
      <w:r>
        <w:rPr>
          <w:rFonts w:ascii="Times New Roman" w:hAnsi="Times New Roman"/>
          <w:color w:val="000000"/>
          <w:sz w:val="22"/>
        </w:rPr>
        <w:t>means all laws, rules, regulations, codes, ordinances, orders, decrees, judgments, injunctions, notices or binding agreements issued, promulgated or entered into by any Governmental Authority, relating in any way to (i) protection of the environment, (ii) preservation or reclamation of natural resources, (iii) the management, release or threatened release of any Hazardous Material or (iv) to the extent relating to exposure to any Hazardous Material, health and safety matters.</w:t>
      </w:r>
    </w:p>
    <w:p>
      <w:pPr>
        <w:pStyle w:val="TextBody"/>
        <w:bidi w:val="0"/>
        <w:spacing w:before="0" w:after="240"/>
        <w:jc w:val="both"/>
        <w:rPr/>
      </w:pPr>
      <w:r>
        <w:rPr>
          <w:color w:val="000000"/>
        </w:rPr>
        <w:t>“</w:t>
      </w:r>
      <w:r>
        <w:rPr>
          <w:rFonts w:ascii="Times New Roman" w:hAnsi="Times New Roman"/>
          <w:b/>
          <w:i/>
          <w:color w:val="000000"/>
          <w:sz w:val="22"/>
        </w:rPr>
        <w:t>Environmental Liability</w:t>
      </w:r>
      <w:r>
        <w:rPr>
          <w:rFonts w:ascii="Times New Roman" w:hAnsi="Times New Roman"/>
          <w:color w:val="000000"/>
          <w:sz w:val="20"/>
        </w:rPr>
        <w:t xml:space="preserve">” </w:t>
      </w:r>
      <w:r>
        <w:rPr>
          <w:rFonts w:ascii="Times New Roman" w:hAnsi="Times New Roman"/>
          <w:color w:val="000000"/>
          <w:sz w:val="22"/>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the extent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b/>
          <w:i/>
          <w:color w:val="000000"/>
          <w:sz w:val="22"/>
        </w:rPr>
        <w:t>Equity Financed Permitted Acquisition</w:t>
      </w:r>
      <w:r>
        <w:rPr>
          <w:rFonts w:ascii="Times New Roman" w:hAnsi="Times New Roman"/>
          <w:color w:val="000000"/>
          <w:sz w:val="20"/>
        </w:rPr>
        <w:t xml:space="preserve">” </w:t>
      </w:r>
      <w:r>
        <w:rPr>
          <w:rFonts w:ascii="Times New Roman" w:hAnsi="Times New Roman"/>
          <w:color w:val="000000"/>
          <w:sz w:val="22"/>
        </w:rPr>
        <w:t>means any Permitted Acquisition described in clause (a) of the definition thereof.</w:t>
      </w:r>
    </w:p>
    <w:p>
      <w:pPr>
        <w:pStyle w:val="TextBody"/>
        <w:bidi w:val="0"/>
        <w:spacing w:before="0" w:after="240"/>
        <w:jc w:val="both"/>
        <w:rPr/>
      </w:pPr>
      <w:r>
        <w:rPr>
          <w:color w:val="000000"/>
        </w:rPr>
        <w:t>“</w:t>
      </w:r>
      <w:r>
        <w:rPr>
          <w:rFonts w:ascii="Times New Roman" w:hAnsi="Times New Roman"/>
          <w:b/>
          <w:i/>
          <w:color w:val="000000"/>
          <w:sz w:val="22"/>
        </w:rPr>
        <w:t>Equity Interests</w:t>
      </w:r>
      <w:r>
        <w:rPr>
          <w:rFonts w:ascii="Times New Roman" w:hAnsi="Times New Roman"/>
          <w:color w:val="000000"/>
          <w:sz w:val="20"/>
        </w:rPr>
        <w:t xml:space="preserve">” </w:t>
      </w:r>
      <w:r>
        <w:rPr>
          <w:rFonts w:ascii="Times New Roman" w:hAnsi="Times New Roman"/>
          <w:color w:val="000000"/>
          <w:sz w:val="22"/>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 unless and until converted into the foregoing.</w:t>
      </w:r>
    </w:p>
    <w:p>
      <w:pPr>
        <w:pStyle w:val="TextBody"/>
        <w:bidi w:val="0"/>
        <w:spacing w:before="0" w:after="240"/>
        <w:jc w:val="both"/>
        <w:rPr/>
      </w:pPr>
      <w:r>
        <w:rPr>
          <w:color w:val="000000"/>
        </w:rPr>
        <w:t>“</w:t>
      </w:r>
      <w:r>
        <w:rPr>
          <w:rFonts w:ascii="Times New Roman" w:hAnsi="Times New Roman"/>
          <w:b/>
          <w:i/>
          <w:color w:val="000000"/>
          <w:sz w:val="22"/>
        </w:rPr>
        <w:t>Equity Funded Employee Plan Costs</w:t>
      </w:r>
      <w:r>
        <w:rPr>
          <w:rFonts w:ascii="Times New Roman" w:hAnsi="Times New Roman"/>
          <w:color w:val="000000"/>
          <w:sz w:val="20"/>
        </w:rPr>
        <w:t xml:space="preserve">” </w:t>
      </w:r>
      <w:r>
        <w:rPr>
          <w:rFonts w:ascii="Times New Roman" w:hAnsi="Times New Roman"/>
          <w:color w:val="000000"/>
          <w:sz w:val="22"/>
        </w:rPr>
        <w:t>means cash costs or expenses, incurred pursuant to any management equity plan or stock option plan or any other management or employee benefit plan or agreement or any stock subscription or shareholder agreement, to the extent funded with cash proceeds contributed to the capital of the Borrower or net cash proceeds of an issuance of Qualified Equity Interests of the Borrower or Equity Interests of any direct or indirect parent of the Borrower (other than any amount designated as a Cure Amount, or any amount used in calculating the Cumulative Credit).</w:t>
      </w:r>
    </w:p>
    <w:p>
      <w:pPr>
        <w:pStyle w:val="TextBody"/>
        <w:bidi w:val="0"/>
        <w:spacing w:before="0" w:after="240"/>
        <w:jc w:val="both"/>
        <w:rPr/>
      </w:pPr>
      <w:r>
        <w:rPr>
          <w:color w:val="000000"/>
        </w:rPr>
        <w:t>“</w:t>
      </w:r>
      <w:r>
        <w:rPr>
          <w:rFonts w:ascii="Times New Roman" w:hAnsi="Times New Roman"/>
          <w:b/>
          <w:i/>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from time to time,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2"/>
        </w:rPr>
        <w:t>ERISA Affiliate</w:t>
      </w:r>
      <w:r>
        <w:rPr>
          <w:rFonts w:ascii="Times New Roman" w:hAnsi="Times New Roman"/>
          <w:color w:val="000000"/>
          <w:sz w:val="20"/>
        </w:rPr>
        <w:t xml:space="preserve">” </w:t>
      </w:r>
      <w:r>
        <w:rPr>
          <w:rFonts w:ascii="Times New Roman" w:hAnsi="Times New Roman"/>
          <w:color w:val="000000"/>
          <w:sz w:val="22"/>
        </w:rPr>
        <w:t xml:space="preserve">means any trade or business (whether or not incorporated) that, together with the Borrower, is treated as a single employer under Section 414(b) or (c) of the Code or Section 4001(a)(14) of ERISA or, solely for purposes of Section 302 of ERISA and Section 412 of the Code, is treated as a single employer under </w:t>
        <w:br/>
        <w:t>Section 414 of the Code.</w:t>
      </w:r>
    </w:p>
    <w:p>
      <w:pPr>
        <w:pStyle w:val="TextBody"/>
        <w:bidi w:val="0"/>
        <w:spacing w:before="0" w:after="240"/>
        <w:jc w:val="both"/>
        <w:rPr/>
      </w:pPr>
      <w:r>
        <w:rPr>
          <w:color w:val="000000"/>
        </w:rPr>
        <w:t>“</w:t>
      </w:r>
      <w:r>
        <w:rPr>
          <w:rFonts w:ascii="Times New Roman" w:hAnsi="Times New Roman"/>
          <w:b/>
          <w:i/>
          <w:color w:val="000000"/>
          <w:sz w:val="22"/>
        </w:rPr>
        <w:t>ERISA Event</w:t>
      </w:r>
      <w:r>
        <w:rPr>
          <w:rFonts w:ascii="Times New Roman" w:hAnsi="Times New Roman"/>
          <w:color w:val="000000"/>
          <w:sz w:val="20"/>
        </w:rPr>
        <w:t xml:space="preserve">” </w:t>
      </w:r>
      <w:r>
        <w:rPr>
          <w:rFonts w:ascii="Times New Roman" w:hAnsi="Times New Roman"/>
          <w:color w:val="000000"/>
          <w:sz w:val="22"/>
        </w:rPr>
        <w:t>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reorganization, within the meaning of Title IV of ERISA.</w:t>
      </w:r>
    </w:p>
    <w:p>
      <w:pPr>
        <w:pStyle w:val="TextBody"/>
        <w:bidi w:val="0"/>
        <w:spacing w:before="0" w:after="240"/>
        <w:jc w:val="both"/>
        <w:rPr/>
      </w:pPr>
      <w:r>
        <w:rPr>
          <w:color w:val="000000"/>
        </w:rPr>
        <w:t>“</w:t>
      </w:r>
      <w:r>
        <w:rPr>
          <w:rFonts w:ascii="Times New Roman" w:hAnsi="Times New Roman"/>
          <w:b/>
          <w:i/>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b/>
          <w:i/>
          <w:color w:val="000000"/>
          <w:sz w:val="22"/>
        </w:rPr>
        <w:t>Events of Default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Article VII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Excluded Affiliates</w:t>
      </w:r>
      <w:r>
        <w:rPr>
          <w:rFonts w:ascii="Times New Roman" w:hAnsi="Times New Roman"/>
          <w:color w:val="000000"/>
          <w:sz w:val="20"/>
        </w:rPr>
        <w:t xml:space="preserve">” </w:t>
      </w:r>
      <w:r>
        <w:rPr>
          <w:rFonts w:ascii="Times New Roman" w:hAnsi="Times New Roman"/>
          <w:color w:val="000000"/>
          <w:sz w:val="22"/>
        </w:rPr>
        <w:t>means , collectively, any Affiliates of any of the Lead Arrangers deal teams that are engaged as principals primarily in private equity or venture capital (other than bona fide debt fund affiliates, and a limited number of senior employees who are required, in accordance with industry regulations or such Lead Arranger’s internal policies and procedures to act in a supervisory capacity and such Lead Arranger’s internal legal, compliance, risk management, credit or investment committee members).</w:t>
      </w:r>
    </w:p>
    <w:p>
      <w:pPr>
        <w:pStyle w:val="TextBody"/>
        <w:bidi w:val="0"/>
        <w:spacing w:before="0" w:after="240"/>
        <w:jc w:val="both"/>
        <w:rPr/>
      </w:pPr>
      <w:r>
        <w:rPr>
          <w:color w:val="000000"/>
        </w:rPr>
        <w:t>“</w:t>
      </w:r>
      <w:r>
        <w:rPr>
          <w:rFonts w:ascii="Times New Roman" w:hAnsi="Times New Roman"/>
          <w:b/>
          <w:i/>
          <w:color w:val="000000"/>
          <w:sz w:val="22"/>
        </w:rPr>
        <w:t>Excluded Equity Interests</w:t>
      </w:r>
      <w:r>
        <w:rPr>
          <w:rFonts w:ascii="Times New Roman" w:hAnsi="Times New Roman"/>
          <w:color w:val="000000"/>
          <w:sz w:val="20"/>
        </w:rPr>
        <w:t xml:space="preserve">” </w:t>
      </w:r>
      <w:r>
        <w:rPr>
          <w:rFonts w:ascii="Times New Roman" w:hAnsi="Times New Roman"/>
          <w:color w:val="000000"/>
          <w:sz w:val="22"/>
        </w:rPr>
        <w:t xml:space="preserve">means (a) Equity Interests of any Subsidiary for which the pledge of its Equity Interests is prohibited by applicable Law or, solely in the case of a newly acquired Subsidiary, by contractual obligation in existence at the time of acquisition but not entered into for the purpose (as determined by the Borrower in good faith) of evading the requirements set forth in </w:t>
      </w:r>
      <w:r>
        <w:rPr>
          <w:rFonts w:ascii="Times New Roman" w:hAnsi="Times New Roman"/>
          <w:color w:val="000000"/>
          <w:sz w:val="22"/>
          <w:u w:val="single"/>
        </w:rPr>
        <w:t>Section 5.10</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5.11</w:t>
      </w:r>
      <w:r>
        <w:rPr>
          <w:rFonts w:ascii="Times New Roman" w:hAnsi="Times New Roman"/>
          <w:color w:val="000000"/>
          <w:sz w:val="22"/>
        </w:rPr>
        <w:t>, as applicable, or for which governmental (including regulatory) consent, approval, license or authorization would be required unless such consent, approval, license or authorization has been received (it being understood and agreed that there shall be no obligation to seek or obtain such consent, approval, license or authorization), (b) Equity Interests of any other Person with respect to which, to the extent reasonably agreed by the Borrower and the Administrative Agent in writing, the burden or cost or other consequences (including any adverse tax, regulatory or accounting consequences (other than de minimis tax or regulatory consequences)) of the pledge of its Equity Interests shall be excessive in view of the benefits to be obtained by the Lenders therefrom (as reasonably determined by the Borrower and the Administrative Agent in writing), (c) voting Equity Interests in excess of 65% of the outstanding voting Equity Interests of any Foreign Subsidiary that is a CFC or any Foreign Subsidiary Holding Company, (d) Equity Interests of any not-for-profit Subsidiaries, and captive insurance subsidiaries, (e) Equity Interests if any special purpose securitization vehicle (or similar entity), but only to the extent that the pledge of the Equity Interests in such vehicle is prohibited by applicable law or by contractual obligations and (f) Equity Interests of Firefly Aerospace Ukraine, LLC.</w:t>
      </w:r>
    </w:p>
    <w:p>
      <w:pPr>
        <w:pStyle w:val="TextBody"/>
        <w:bidi w:val="0"/>
        <w:spacing w:before="0" w:after="240"/>
        <w:jc w:val="both"/>
        <w:rPr/>
      </w:pPr>
      <w:r>
        <w:rPr>
          <w:color w:val="000000"/>
        </w:rPr>
        <w:t>“</w:t>
      </w:r>
      <w:r>
        <w:rPr>
          <w:rFonts w:ascii="Times New Roman" w:hAnsi="Times New Roman"/>
          <w:b/>
          <w:i/>
          <w:color w:val="000000"/>
          <w:sz w:val="22"/>
        </w:rPr>
        <w:t>Excluded Property</w:t>
      </w:r>
      <w:r>
        <w:rPr>
          <w:rFonts w:ascii="Times New Roman" w:hAnsi="Times New Roman"/>
          <w:color w:val="000000"/>
          <w:sz w:val="20"/>
        </w:rPr>
        <w:t xml:space="preserve">” </w:t>
      </w:r>
      <w:r>
        <w:rPr>
          <w:rFonts w:ascii="Times New Roman" w:hAnsi="Times New Roman"/>
          <w:color w:val="000000"/>
          <w:sz w:val="22"/>
        </w:rPr>
        <w:t>means (unless otherwise elected by the Borrower) (i) any fee owned real property that is not a Material Real Property and any leasehold rights and interests in real property (it being understood and agreed that there shall be no requirement on the part of the Loan Parties to deliver landlord or other third-party waivers, estoppels, consents or collateral access letters), (ii) motor vehicles, airplanes and other assets subject to certificates of title, except to the extent a security interest therein may be perfected by filing of a UCC financing statement, (iii) commercial tort claims for which a claim with a value of less than $5,000,000 is made, (iv) any lease related to or any property subject to a purchase money security interest, Capital Lease Obligations or similar arrangements, in each case, to the extent permitted under the Loan Documents, to the extent that a grant of a security interest therein would violate or invalidate</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such lease, purchase money, Capital Lease Obligation or a similar arrangement or create a right of termination or consent in favor of any other party thereto (other than of the Borrower or any other Loan Party) (it being understood and agreed that there shall be no obligation to seek or obtain such consent), (v) any lease, license, permit, franchise or other agreement, and the property subject thereto, in each case, to the extent that a grant of a security interest therein (A) is prohibited by applicable law other than to the extent such prohibition is rendered ineffective under the UCC or other applicable law notwithstanding such prohibition or (B) to the extent and for so long as it would violate the terms thereof (in each case, after giving effect to the relevant provisions of the UCC or other applicable law) or would give rise to a termination or governmental or other third-party consent right (other than of the Borrower or any other Loan Party) thereunder (except to the extent such provision is overridden by the UCC or other applicable law), (vi)(A) Margin Stock and (B)(1) to the extent not permitted by the terms of such Person’s organizational or joint venture documents (so long as such documents are not entered into for the purpose (as determined by the Borrower in good faith) of evading the requirements set forth in </w:t>
      </w:r>
      <w:r>
        <w:rPr>
          <w:rFonts w:ascii="Times New Roman" w:hAnsi="Times New Roman"/>
          <w:color w:val="000000"/>
          <w:sz w:val="22"/>
          <w:u w:val="single"/>
        </w:rPr>
        <w:t>Section 5.10</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5.11</w:t>
      </w:r>
      <w:r>
        <w:rPr>
          <w:rFonts w:ascii="Times New Roman" w:hAnsi="Times New Roman"/>
          <w:color w:val="000000"/>
          <w:sz w:val="22"/>
        </w:rPr>
        <w:t>, as applicable, as determined by the Borrower in good faith), Equity Interests in any Person other than the Borrower, other Loan Parties and any Wholly-Owned Subsidiaries and (2) Excluded Equity Interests, (vii) any property or assets for which the creation or perfection of pledges of, or security interests in, could result in adverse tax consequences (other than de minimis tax consequences) or adverse regulatory or accounting consequences to the Borrower or any of their Subsidiaries, each as reasonably determined by the Borrower, (viii) letter of credit rights with a value of less than $5,000,000, except to the extent constituting supporting obligations for other Collateral as to which perfection of the security interest in such other Collateral is accomplished solely by the filing of a UCC financing statement (it being understood and agreed that no actions shall be required to perfect a security interest in letter of credit rights, other than the filing of a UCC financing statement), (ix) deposit accounts or securities accounts maintained and used (I) for payroll or payroll taxes, (II) for withholding tax or other tax accounts, including without limitation, sales tax accounts, (III) for employee benefits or wages, (IV) as escrow, trust or any other fiduciary account, (V) cash collateral accounts securing credit card facilities, or merchant accounts permitted hereunder, (VI) accounts that are used as cash collateral or escrow accounts or otherwise with third parties (other than Loan Parties) to the extent such deposits or securities therein constitute Liens permitted hereunder, (VII) accounts that are maintained outside of the United States, (VIII) to support performance bonds, (IX) accounts constituting client accounts, including, for the avoidance of doubt, any account in the name of a Loan Party that is held solely for the benefit of a client thereof, and (X) deposit accounts with a de minimis average balance, (x) any intent-to-use Trademark application prior to the filing and acceptance of a “Statement of Use” or “Amendment to Allege Use” with respect thereto, to the extent, if any, that, and solely during the period, if any, in which, the grant of a security interest therein would impair the validity or enforceability of such intent-to-use Trademark application or any registration that issues therefrom under applicable federal Law, (xi) particular assets if and for so long as, if reasonably agreed by the Administrative Agent and the Borrower in writing, the cost of creating or perfecting such pledges or security interests in such assets or obtaining title insurance, surveys, abstracts or appraisals in respect of such assets is excessive in relation to the practical benefits to be obtained by the Lenders therefrom, (xii) any assets of any Subsidiary which is not a Loan Party, (xiii) [intentionally omitted], (xiv) assets sold or otherwise pledged or transferred in connection with a receivables facility permitted hereunder, and (xv) Equity Interests and assets of captive insurance subsidiaries, Immaterial Subsidiaries, and broker dealer subsidiaries (other than, in each case, any such Subsidiary that is a Loan Party); provided, however, that Excluded Property shall not include any Proceeds, substitutions or replacements of any Excluded Property referred to in clauses (i) through (xv)) (unless such Proceeds, substitutions or replacements would independently constitute Excluded Property referred to in clauses (i) through (xv)).</w:t>
      </w:r>
    </w:p>
    <w:p>
      <w:pPr>
        <w:pStyle w:val="TextBody"/>
        <w:bidi w:val="0"/>
        <w:spacing w:before="0" w:after="240"/>
        <w:jc w:val="both"/>
        <w:rPr/>
      </w:pPr>
      <w:r>
        <w:rPr>
          <w:color w:val="000000"/>
        </w:rPr>
        <w:t>“</w:t>
      </w:r>
      <w:r>
        <w:rPr>
          <w:rFonts w:ascii="Times New Roman" w:hAnsi="Times New Roman"/>
          <w:b/>
          <w:i/>
          <w:color w:val="000000"/>
          <w:sz w:val="22"/>
        </w:rPr>
        <w:t>Excluded Subsidiary</w:t>
      </w:r>
      <w:r>
        <w:rPr>
          <w:rFonts w:ascii="Times New Roman" w:hAnsi="Times New Roman"/>
          <w:color w:val="000000"/>
          <w:sz w:val="20"/>
        </w:rPr>
        <w:t xml:space="preserve">” </w:t>
      </w:r>
      <w:r>
        <w:rPr>
          <w:rFonts w:ascii="Times New Roman" w:hAnsi="Times New Roman"/>
          <w:color w:val="000000"/>
          <w:sz w:val="22"/>
        </w:rPr>
        <w:t xml:space="preserve">means, unless otherwise elected by the Borrower, (a) any Subsidiary that is not a wholly-owned Domestic Subsidiary of the Borrower or a Guarantor and each joint venture, in each case subject to </w:t>
      </w:r>
      <w:r>
        <w:rPr>
          <w:rFonts w:ascii="Times New Roman" w:hAnsi="Times New Roman"/>
          <w:color w:val="000000"/>
          <w:sz w:val="22"/>
          <w:u w:val="single"/>
        </w:rPr>
        <w:t>Section 10.14(b)</w:t>
      </w:r>
      <w:r>
        <w:rPr>
          <w:rFonts w:ascii="Times New Roman" w:hAnsi="Times New Roman"/>
          <w:color w:val="000000"/>
          <w:sz w:val="22"/>
        </w:rPr>
        <w:t>, (b) any Subsidiary for which guarantees of the Obligations are (i) prohibited by applicable law, rule or regulation or require consent, approval, license or authorization of a</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Governmental Authority, unless such consent, approval, license or authorization has been received; provided, that there shall be no obligation to obtain such consent, approval, license or authorization or (ii) contractually prohibited on the Effective Date or, following the Effective Date, the date of the acquisition thereof, so long as such prohibition exists and so long as such prohibition is not created for the purpose (as determined by the Borrower in good faith) of evading the requirements set forth in </w:t>
      </w:r>
      <w:r>
        <w:rPr>
          <w:rFonts w:ascii="Times New Roman" w:hAnsi="Times New Roman"/>
          <w:color w:val="000000"/>
          <w:sz w:val="22"/>
          <w:u w:val="single"/>
        </w:rPr>
        <w:t>Section 5.10</w:t>
      </w:r>
      <w:r>
        <w:rPr>
          <w:rFonts w:ascii="Times New Roman" w:hAnsi="Times New Roman"/>
          <w:color w:val="000000"/>
          <w:sz w:val="22"/>
        </w:rPr>
        <w:t>, (c) any Subsidiary with respect to which, in the reasonable judgment of the Borrower and the Administrative Agent, the burden or cost of providing a Guarantee shall be excessive in view of the benefits to be obtained by the Lenders therefrom (giving due consideration to regulatory, accounting and tax consequences), (d) any not-for-profit Subsidiaries, (e) [intentionally omitted], (f) any special purpose securitization vehicle (or similar entity), (g) any Subsidiary of a CFC, (h) any Foreign Subsidiary Holding Company, (i) captive insurance Subsidiaries, (j) any Immaterial Subsidiary, (k) any Subsidiary acquired pursuant to a Permitted Acquisition or other Investment permitted under this Agreement and financed with assumed Indebtedness permitted to be incurred pursuant to this Agreement (and not incurred in contemplation of such Permitted Acquisition or Investment), and each Subsidiary that is not a Loan Party acquired in such Permitted Acquisition or other Investment permitted hereunder that guarantees such Indebtedness, in each case in this clause and (k) to the extent that, and for so long as, the documentation relating to such Indebtedness to which such Subsidiary is a party prohibits such Subsidiary from guaranteeing the Obligations and such prohibition is not created in contemplation of such Permitted Acquisition or other Investment permitted hereunder.</w:t>
      </w:r>
    </w:p>
    <w:p>
      <w:pPr>
        <w:pStyle w:val="TextBody"/>
        <w:bidi w:val="0"/>
        <w:spacing w:before="0" w:after="240"/>
        <w:jc w:val="both"/>
        <w:rPr/>
      </w:pPr>
      <w:r>
        <w:rPr>
          <w:color w:val="000000"/>
        </w:rPr>
        <w:t>“</w:t>
      </w:r>
      <w:r>
        <w:rPr>
          <w:rFonts w:ascii="Times New Roman" w:hAnsi="Times New Roman"/>
          <w:b/>
          <w:i/>
          <w:color w:val="000000"/>
          <w:sz w:val="22"/>
        </w:rPr>
        <w:t>Excluded Swap Obligation</w:t>
      </w:r>
      <w:r>
        <w:rPr>
          <w:rFonts w:ascii="Times New Roman" w:hAnsi="Times New Roman"/>
          <w:color w:val="000000"/>
          <w:sz w:val="20"/>
        </w:rPr>
        <w:t xml:space="preserve">” </w:t>
      </w:r>
      <w:r>
        <w:rPr>
          <w:rFonts w:ascii="Times New Roman" w:hAnsi="Times New Roman"/>
          <w:color w:val="000000"/>
          <w:sz w:val="22"/>
        </w:rPr>
        <w:t>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or unlawful.</w:t>
      </w:r>
    </w:p>
    <w:p>
      <w:pPr>
        <w:pStyle w:val="TextBody"/>
        <w:bidi w:val="0"/>
        <w:spacing w:before="0" w:after="240"/>
        <w:jc w:val="both"/>
        <w:rPr/>
      </w:pPr>
      <w:r>
        <w:rPr>
          <w:color w:val="000000"/>
        </w:rPr>
        <w:t>“</w:t>
      </w:r>
      <w:r>
        <w:rPr>
          <w:rFonts w:ascii="Times New Roman" w:hAnsi="Times New Roman"/>
          <w:b/>
          <w:i/>
          <w:color w:val="000000"/>
          <w:sz w:val="22"/>
        </w:rPr>
        <w:t>Excluded Taxes</w:t>
      </w:r>
      <w:r>
        <w:rPr>
          <w:rFonts w:ascii="Times New Roman" w:hAnsi="Times New Roman"/>
          <w:color w:val="000000"/>
          <w:sz w:val="20"/>
        </w:rPr>
        <w:t xml:space="preserve">” </w:t>
      </w:r>
      <w:r>
        <w:rPr>
          <w:rFonts w:ascii="Times New Roman" w:hAnsi="Times New Roman"/>
          <w:color w:val="000000"/>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applicable Commitment, or, if such Lender did not fund an applicable Loan or Letter of Credit pursuant to a prior Commitment, on the date such Lender acquired the applicable interest in such Loan or Letter of Credit (other than pursuant to an assignment request by the Borrower under </w:t>
      </w:r>
      <w:r>
        <w:rPr>
          <w:rFonts w:ascii="Times New Roman" w:hAnsi="Times New Roman"/>
          <w:color w:val="000000"/>
          <w:sz w:val="22"/>
          <w:u w:val="single"/>
        </w:rPr>
        <w:t>Section 2.19(b)</w:t>
      </w:r>
      <w:r>
        <w:rPr>
          <w:rFonts w:ascii="Times New Roman" w:hAnsi="Times New Roman"/>
          <w:color w:val="000000"/>
          <w:sz w:val="22"/>
        </w:rPr>
        <w:t xml:space="preserve">) or (ii) such Lender changes its lending office, except in each case to the extent that, pursuant to </w:t>
      </w:r>
      <w:r>
        <w:rPr>
          <w:rFonts w:ascii="Times New Roman" w:hAnsi="Times New Roman"/>
          <w:color w:val="000000"/>
          <w:sz w:val="22"/>
          <w:u w:val="single"/>
        </w:rPr>
        <w:t>Section 2.17</w:t>
      </w:r>
      <w:r>
        <w:rPr>
          <w:rFonts w:ascii="Times New Roman" w:hAnsi="Times New Roman"/>
          <w:color w:val="000000"/>
          <w:sz w:val="22"/>
        </w:rPr>
        <w:t xml:space="preserve">, amounts with respect to such Taxes were payable either to such Lender’s assignor immediately before such Lender acquired the applicable interest in the applicable Loan, Letter of Credit or Commitment or to such Lender immediately before it changed its lending office, (c) Taxes attributable to such Recipient’s failure to comply with </w:t>
      </w:r>
      <w:r>
        <w:rPr>
          <w:rFonts w:ascii="Times New Roman" w:hAnsi="Times New Roman"/>
          <w:color w:val="000000"/>
          <w:sz w:val="22"/>
          <w:u w:val="single"/>
        </w:rPr>
        <w:t>Section 2.17(f)</w:t>
      </w:r>
      <w:r>
        <w:rPr>
          <w:rFonts w:ascii="Times New Roman" w:hAnsi="Times New Roman"/>
          <w:color w:val="000000"/>
          <w:sz w:val="20"/>
        </w:rPr>
        <w:t xml:space="preserve"> </w:t>
      </w:r>
      <w:r>
        <w:rPr>
          <w:rFonts w:ascii="Times New Roman" w:hAnsi="Times New Roman"/>
          <w:color w:val="000000"/>
          <w:sz w:val="22"/>
        </w:rPr>
        <w:t>and (d) any withholding Taxes imposed under FATCA.</w:t>
      </w:r>
    </w:p>
    <w:p>
      <w:pPr>
        <w:pStyle w:val="TextBody"/>
        <w:bidi w:val="0"/>
        <w:spacing w:before="0" w:after="240"/>
        <w:jc w:val="both"/>
        <w:rPr/>
      </w:pPr>
      <w:r>
        <w:rPr>
          <w:color w:val="000000"/>
        </w:rPr>
        <w:t>“</w:t>
      </w:r>
      <w:r>
        <w:rPr>
          <w:rFonts w:ascii="Times New Roman" w:hAnsi="Times New Roman"/>
          <w:b/>
          <w:i/>
          <w:color w:val="000000"/>
          <w:sz w:val="22"/>
        </w:rPr>
        <w:t>Existing Debt</w:t>
      </w:r>
      <w:r>
        <w:rPr>
          <w:rFonts w:ascii="Times New Roman" w:hAnsi="Times New Roman"/>
          <w:color w:val="000000"/>
          <w:sz w:val="20"/>
        </w:rPr>
        <w:t xml:space="preserve">” </w:t>
      </w:r>
      <w:r>
        <w:rPr>
          <w:rFonts w:ascii="Times New Roman" w:hAnsi="Times New Roman"/>
          <w:color w:val="000000"/>
          <w:sz w:val="22"/>
        </w:rPr>
        <w:t>means the term loans (and other obligations) incurred pursuant to the Existing Financing Agreement.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Existing Debt Repayment</w:t>
      </w:r>
      <w:r>
        <w:rPr>
          <w:rFonts w:ascii="Times New Roman" w:hAnsi="Times New Roman"/>
          <w:color w:val="000000"/>
          <w:sz w:val="20"/>
        </w:rPr>
        <w:t xml:space="preserve">” </w:t>
      </w:r>
      <w:r>
        <w:rPr>
          <w:rFonts w:ascii="Times New Roman" w:hAnsi="Times New Roman"/>
          <w:color w:val="000000"/>
          <w:sz w:val="22"/>
        </w:rPr>
        <w:t>means, collectively, (i) the repayment in full of the outstanding Existing Debt under the Existing Financing Agreement (including accrued interest and fees), (ii) the termination of all commitments thereunder and (iii) the release of all guarantees and Liens securing the obligations under the Existing Financing Agreement.</w:t>
      </w:r>
    </w:p>
    <w:p>
      <w:pPr>
        <w:pStyle w:val="TextBody"/>
        <w:bidi w:val="0"/>
        <w:spacing w:before="0" w:after="240"/>
        <w:jc w:val="both"/>
        <w:rPr/>
      </w:pPr>
      <w:r>
        <w:rPr>
          <w:color w:val="000000"/>
        </w:rPr>
        <w:t>“</w:t>
      </w:r>
      <w:r>
        <w:rPr>
          <w:rFonts w:ascii="Times New Roman" w:hAnsi="Times New Roman"/>
          <w:b/>
          <w:i/>
          <w:color w:val="000000"/>
          <w:sz w:val="22"/>
        </w:rPr>
        <w:t>Existing Financing Agreement</w:t>
      </w:r>
      <w:r>
        <w:rPr>
          <w:rFonts w:ascii="Times New Roman" w:hAnsi="Times New Roman"/>
          <w:color w:val="000000"/>
          <w:sz w:val="20"/>
        </w:rPr>
        <w:t xml:space="preserve">” </w:t>
      </w:r>
      <w:r>
        <w:rPr>
          <w:rFonts w:ascii="Times New Roman" w:hAnsi="Times New Roman"/>
          <w:color w:val="000000"/>
          <w:sz w:val="22"/>
        </w:rPr>
        <w:t>means that certain Second Amended and Restated Financing Agreement, dated as of May 20, 2024, by and among the Borrower, certain Subsidiaries of Borrower from time to time party thereto, as guarantors, the lenders from time to time party thereto and U.S. Bank Trust Company, National Association, as administrative agent and collateral agent (as amended or modified prior to the Effective Date).</w:t>
      </w:r>
    </w:p>
    <w:p>
      <w:pPr>
        <w:pStyle w:val="TextBody"/>
        <w:bidi w:val="0"/>
        <w:spacing w:before="0" w:after="240"/>
        <w:jc w:val="both"/>
        <w:rPr/>
      </w:pPr>
      <w:r>
        <w:rPr>
          <w:color w:val="000000"/>
        </w:rPr>
        <w:t>“</w:t>
      </w:r>
      <w:r>
        <w:rPr>
          <w:rFonts w:ascii="Times New Roman" w:hAnsi="Times New Roman"/>
          <w:b/>
          <w:i/>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treaty or convention among Governmental Authorities (and related fiscal or regulatory legislation, rules or official administrative guidance) implementing the foregoing.</w:t>
      </w:r>
    </w:p>
    <w:p>
      <w:pPr>
        <w:pStyle w:val="TextBody"/>
        <w:bidi w:val="0"/>
        <w:spacing w:before="0" w:after="240"/>
        <w:jc w:val="both"/>
        <w:rPr/>
      </w:pPr>
      <w:r>
        <w:rPr>
          <w:color w:val="000000"/>
        </w:rPr>
        <w:t>“</w:t>
      </w:r>
      <w:r>
        <w:rPr>
          <w:rFonts w:ascii="Times New Roman" w:hAnsi="Times New Roman"/>
          <w:b/>
          <w:i/>
          <w:color w:val="000000"/>
          <w:sz w:val="22"/>
        </w:rPr>
        <w:t>Federal Funds Effective Rate</w:t>
      </w:r>
      <w:r>
        <w:rPr>
          <w:rFonts w:ascii="Times New Roman" w:hAnsi="Times New Roman"/>
          <w:color w:val="000000"/>
          <w:sz w:val="20"/>
        </w:rPr>
        <w:t xml:space="preserve">” </w:t>
      </w:r>
      <w:r>
        <w:rPr>
          <w:rFonts w:ascii="Times New Roman" w:hAnsi="Times New Roman"/>
          <w:color w:val="000000"/>
          <w:sz w:val="22"/>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i/>
          <w:color w:val="000000"/>
          <w:sz w:val="22"/>
        </w:rPr>
        <w:t xml:space="preserve">provided </w:t>
      </w:r>
      <w:r>
        <w:rPr>
          <w:rFonts w:ascii="Times New Roman" w:hAnsi="Times New Roman"/>
          <w:color w:val="000000"/>
          <w:sz w:val="22"/>
        </w:rPr>
        <w:t>that if the Federal Funds Effective Rate as so determined would be less than zero, such rate shall be deemed to be zero for the purposes of this Agreement.</w:t>
      </w:r>
    </w:p>
    <w:p>
      <w:pPr>
        <w:pStyle w:val="TextBody"/>
        <w:bidi w:val="0"/>
        <w:spacing w:before="0" w:after="240"/>
        <w:jc w:val="both"/>
        <w:rPr/>
      </w:pPr>
      <w:r>
        <w:rPr>
          <w:color w:val="000000"/>
        </w:rPr>
        <w:t>“</w:t>
      </w:r>
      <w:r>
        <w:rPr>
          <w:rFonts w:ascii="Times New Roman" w:hAnsi="Times New Roman"/>
          <w:b/>
          <w:i/>
          <w:color w:val="000000"/>
          <w:sz w:val="22"/>
        </w:rPr>
        <w:t>Fee Letters</w:t>
      </w:r>
      <w:r>
        <w:rPr>
          <w:rFonts w:ascii="Times New Roman" w:hAnsi="Times New Roman"/>
          <w:color w:val="000000"/>
          <w:sz w:val="20"/>
        </w:rPr>
        <w:t xml:space="preserve">” </w:t>
      </w:r>
      <w:r>
        <w:rPr>
          <w:rFonts w:ascii="Times New Roman" w:hAnsi="Times New Roman"/>
          <w:color w:val="000000"/>
          <w:sz w:val="22"/>
        </w:rPr>
        <w:t>means (a) that certain Administrative Agent Fee Letter, dated as of July 28, 2025, among the Borrower and the Administrative Agent and (b) that certain Arranger Fee Letter, dated as of July 28, 2025, among the Borrower and the Lead Arrangers.</w:t>
      </w:r>
    </w:p>
    <w:p>
      <w:pPr>
        <w:pStyle w:val="TextBody"/>
        <w:bidi w:val="0"/>
        <w:spacing w:before="0" w:after="240"/>
        <w:jc w:val="both"/>
        <w:rPr/>
      </w:pPr>
      <w:r>
        <w:rPr>
          <w:color w:val="000000"/>
        </w:rPr>
        <w:t>“</w:t>
      </w:r>
      <w:r>
        <w:rPr>
          <w:rFonts w:ascii="Times New Roman" w:hAnsi="Times New Roman"/>
          <w:b/>
          <w:i/>
          <w:color w:val="000000"/>
          <w:sz w:val="22"/>
        </w:rPr>
        <w:t>First Amendment</w:t>
      </w:r>
      <w:r>
        <w:rPr>
          <w:rFonts w:ascii="Times New Roman" w:hAnsi="Times New Roman"/>
          <w:color w:val="000000"/>
          <w:sz w:val="20"/>
        </w:rPr>
        <w:t xml:space="preserve">” </w:t>
      </w:r>
      <w:r>
        <w:rPr>
          <w:rFonts w:ascii="Times New Roman" w:hAnsi="Times New Roman"/>
          <w:color w:val="000000"/>
          <w:sz w:val="22"/>
        </w:rPr>
        <w:t xml:space="preserve">means that certain First Amendment to Credit Agreement, dated as of the First Amendment Effective Date, by and among the Borrower, the Guarantors, the Administrative Agent and the Lenders and Issuing </w:t>
      </w:r>
      <w:r>
        <w:rPr>
          <w:rFonts w:ascii="Times New Roman" w:hAnsi="Times New Roman"/>
          <w:strike/>
          <w:color w:val="FF0000"/>
          <w:sz w:val="22"/>
        </w:rPr>
        <w:t>Parties</w:t>
      </w:r>
      <w:r>
        <w:rPr>
          <w:rFonts w:ascii="Times New Roman" w:hAnsi="Times New Roman"/>
          <w:color w:val="0000FF"/>
          <w:sz w:val="22"/>
          <w:u w:val="single"/>
        </w:rPr>
        <w:t>Banks</w:t>
      </w:r>
      <w:r>
        <w:rPr>
          <w:rFonts w:ascii="Times New Roman" w:hAnsi="Times New Roman"/>
          <w:color w:val="000000"/>
          <w:sz w:val="20"/>
        </w:rPr>
        <w:t xml:space="preserve"> </w:t>
      </w:r>
      <w:r>
        <w:rPr>
          <w:rFonts w:ascii="Times New Roman" w:hAnsi="Times New Roman"/>
          <w:color w:val="000000"/>
          <w:sz w:val="22"/>
        </w:rPr>
        <w:t>party thereto.</w:t>
      </w:r>
    </w:p>
    <w:p>
      <w:pPr>
        <w:pStyle w:val="TextBody"/>
        <w:bidi w:val="0"/>
        <w:spacing w:before="0" w:after="240"/>
        <w:jc w:val="both"/>
        <w:rPr/>
      </w:pPr>
      <w:r>
        <w:rPr>
          <w:color w:val="000000"/>
        </w:rPr>
        <w:t>“</w:t>
      </w:r>
      <w:r>
        <w:rPr>
          <w:rFonts w:ascii="Times New Roman" w:hAnsi="Times New Roman"/>
          <w:b/>
          <w:i/>
          <w:color w:val="000000"/>
          <w:sz w:val="22"/>
        </w:rPr>
        <w:t>First Amendment Effective Date</w:t>
      </w:r>
      <w:r>
        <w:rPr>
          <w:rFonts w:ascii="Times New Roman" w:hAnsi="Times New Roman"/>
          <w:color w:val="000000"/>
          <w:sz w:val="20"/>
        </w:rPr>
        <w:t xml:space="preserve">” </w:t>
      </w:r>
      <w:r>
        <w:rPr>
          <w:rFonts w:ascii="Times New Roman" w:hAnsi="Times New Roman"/>
          <w:color w:val="000000"/>
          <w:sz w:val="22"/>
        </w:rPr>
        <w:t>means November 7, 2025.</w:t>
      </w:r>
    </w:p>
    <w:p>
      <w:pPr>
        <w:pStyle w:val="TextBody"/>
        <w:bidi w:val="0"/>
        <w:spacing w:before="0" w:after="240"/>
        <w:jc w:val="both"/>
        <w:rPr/>
      </w:pPr>
      <w:r>
        <w:rPr>
          <w:color w:val="000000"/>
        </w:rPr>
        <w:t>“</w:t>
      </w:r>
      <w:r>
        <w:rPr>
          <w:rFonts w:ascii="Times New Roman" w:hAnsi="Times New Roman"/>
          <w:b/>
          <w:i/>
          <w:color w:val="000000"/>
          <w:sz w:val="22"/>
        </w:rPr>
        <w:t>First Amendment Lead Arrangers</w:t>
      </w:r>
      <w:r>
        <w:rPr>
          <w:rFonts w:ascii="Times New Roman" w:hAnsi="Times New Roman"/>
          <w:color w:val="000000"/>
          <w:sz w:val="20"/>
        </w:rPr>
        <w:t xml:space="preserve">” </w:t>
      </w:r>
      <w:r>
        <w:rPr>
          <w:rFonts w:ascii="Times New Roman" w:hAnsi="Times New Roman"/>
          <w:color w:val="000000"/>
          <w:sz w:val="22"/>
        </w:rPr>
        <w:t>has the meaning set forth in the First Amendment.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Finance Lease Obligations</w:t>
      </w:r>
      <w:r>
        <w:rPr>
          <w:rFonts w:ascii="Times New Roman" w:hAnsi="Times New Roman"/>
          <w:color w:val="000000"/>
          <w:sz w:val="20"/>
        </w:rPr>
        <w:t xml:space="preserve">” </w:t>
      </w:r>
      <w:r>
        <w:rPr>
          <w:rFonts w:ascii="Times New Roman" w:hAnsi="Times New Roman"/>
          <w:color w:val="000000"/>
          <w:sz w:val="22"/>
        </w:rPr>
        <w:t xml:space="preserve">of any Person means the obligations of such Person to pay rent or other amounts under any lease of (or other arrangement conveying the right to use) real or personal property, or a combination thereof, which obligations are required, subject to </w:t>
      </w:r>
      <w:r>
        <w:rPr>
          <w:rFonts w:ascii="Times New Roman" w:hAnsi="Times New Roman"/>
          <w:color w:val="000000"/>
          <w:sz w:val="22"/>
          <w:u w:val="single"/>
        </w:rPr>
        <w:t>Section 1.04</w:t>
      </w:r>
      <w:r>
        <w:rPr>
          <w:rFonts w:ascii="Times New Roman" w:hAnsi="Times New Roman"/>
          <w:color w:val="000000"/>
          <w:sz w:val="22"/>
        </w:rPr>
        <w:t>, to be classified and accounted for as a finance lease under GAAP, and the amount of such obligations shall be the capitalized amount thereof determined in accordance with GAAP. For the avoidance of doubt, an operating lease will not be a Finance Lease Obligation.</w:t>
      </w:r>
    </w:p>
    <w:p>
      <w:pPr>
        <w:pStyle w:val="TextBody"/>
        <w:bidi w:val="0"/>
        <w:spacing w:before="0" w:after="240"/>
        <w:jc w:val="both"/>
        <w:rPr/>
      </w:pPr>
      <w:r>
        <w:rPr>
          <w:color w:val="000000"/>
        </w:rPr>
        <w:t>“</w:t>
      </w:r>
      <w:r>
        <w:rPr>
          <w:rFonts w:ascii="Times New Roman" w:hAnsi="Times New Roman"/>
          <w:b/>
          <w:i/>
          <w:color w:val="000000"/>
          <w:sz w:val="22"/>
        </w:rPr>
        <w:t>Financial Officer</w:t>
      </w:r>
      <w:r>
        <w:rPr>
          <w:rFonts w:ascii="Times New Roman" w:hAnsi="Times New Roman"/>
          <w:color w:val="000000"/>
          <w:sz w:val="20"/>
        </w:rPr>
        <w:t xml:space="preserve">” </w:t>
      </w:r>
      <w:r>
        <w:rPr>
          <w:rFonts w:ascii="Times New Roman" w:hAnsi="Times New Roman"/>
          <w:color w:val="000000"/>
          <w:sz w:val="22"/>
        </w:rPr>
        <w:t>means the chief financial officer, chief operating officer, general counsel, principal accounting officer, treasurer, controller or any other officer of similar and comparable title of the Borrower.</w:t>
      </w:r>
    </w:p>
    <w:p>
      <w:pPr>
        <w:pStyle w:val="TextBody"/>
        <w:bidi w:val="0"/>
        <w:spacing w:before="0" w:after="240"/>
        <w:jc w:val="both"/>
        <w:rPr/>
      </w:pPr>
      <w:r>
        <w:rPr>
          <w:color w:val="000000"/>
        </w:rPr>
        <w:t>“</w:t>
      </w:r>
      <w:r>
        <w:rPr>
          <w:rFonts w:ascii="Times New Roman" w:hAnsi="Times New Roman"/>
          <w:b/>
          <w:i/>
          <w:color w:val="000000"/>
          <w:sz w:val="22"/>
        </w:rPr>
        <w:t>Financial Statements</w:t>
      </w:r>
      <w:r>
        <w:rPr>
          <w:rFonts w:ascii="Times New Roman" w:hAnsi="Times New Roman"/>
          <w:color w:val="000000"/>
          <w:sz w:val="20"/>
        </w:rPr>
        <w:t xml:space="preserve">” </w:t>
      </w:r>
      <w:r>
        <w:rPr>
          <w:rFonts w:ascii="Times New Roman" w:hAnsi="Times New Roman"/>
          <w:color w:val="000000"/>
          <w:sz w:val="22"/>
        </w:rPr>
        <w:t xml:space="preserve">means the financial statements to be furnished pursuant to </w:t>
      </w:r>
      <w:r>
        <w:rPr>
          <w:rFonts w:ascii="Times New Roman" w:hAnsi="Times New Roman"/>
          <w:color w:val="000000"/>
          <w:sz w:val="22"/>
          <w:u w:val="single"/>
        </w:rPr>
        <w:t>Sections 5.01(a)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Flood Insurance Laws</w:t>
      </w:r>
      <w:r>
        <w:rPr>
          <w:rFonts w:ascii="Times New Roman" w:hAnsi="Times New Roman"/>
          <w:color w:val="000000"/>
          <w:sz w:val="20"/>
        </w:rPr>
        <w:t xml:space="preserve">” </w:t>
      </w:r>
      <w:r>
        <w:rPr>
          <w:rFonts w:ascii="Times New Roman" w:hAnsi="Times New Roman"/>
          <w:color w:val="000000"/>
          <w:sz w:val="22"/>
        </w:rPr>
        <w:t>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pStyle w:val="TextBody"/>
        <w:bidi w:val="0"/>
        <w:spacing w:before="0" w:after="240"/>
        <w:jc w:val="both"/>
        <w:rPr/>
      </w:pPr>
      <w:r>
        <w:rPr>
          <w:color w:val="000000"/>
        </w:rPr>
        <w:t>“</w:t>
      </w:r>
      <w:r>
        <w:rPr>
          <w:rFonts w:ascii="Times New Roman" w:hAnsi="Times New Roman"/>
          <w:b/>
          <w:i/>
          <w:color w:val="000000"/>
          <w:sz w:val="22"/>
        </w:rPr>
        <w:t>Floor</w:t>
      </w:r>
      <w:r>
        <w:rPr>
          <w:rFonts w:ascii="Times New Roman" w:hAnsi="Times New Roman"/>
          <w:color w:val="000000"/>
          <w:sz w:val="20"/>
        </w:rPr>
        <w:t xml:space="preserve">” </w:t>
      </w:r>
      <w:r>
        <w:rPr>
          <w:rFonts w:ascii="Times New Roman" w:hAnsi="Times New Roman"/>
          <w:color w:val="000000"/>
          <w:sz w:val="22"/>
        </w:rPr>
        <w:t>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0.00%.</w:t>
      </w:r>
    </w:p>
    <w:p>
      <w:pPr>
        <w:pStyle w:val="TextBody"/>
        <w:bidi w:val="0"/>
        <w:spacing w:before="0" w:after="240"/>
        <w:jc w:val="both"/>
        <w:rPr/>
      </w:pPr>
      <w:r>
        <w:rPr>
          <w:color w:val="000000"/>
        </w:rPr>
        <w:t>“</w:t>
      </w:r>
      <w:r>
        <w:rPr>
          <w:rFonts w:ascii="Times New Roman" w:hAnsi="Times New Roman"/>
          <w:b/>
          <w:i/>
          <w:color w:val="000000"/>
          <w:sz w:val="22"/>
        </w:rPr>
        <w:t>Foreign Lender</w:t>
      </w:r>
      <w:r>
        <w:rPr>
          <w:rFonts w:ascii="Times New Roman" w:hAnsi="Times New Roman"/>
          <w:color w:val="000000"/>
          <w:sz w:val="20"/>
        </w:rPr>
        <w:t xml:space="preserve">” </w:t>
      </w:r>
      <w:r>
        <w:rPr>
          <w:rFonts w:ascii="Times New Roman" w:hAnsi="Times New Roman"/>
          <w:color w:val="000000"/>
          <w:sz w:val="22"/>
        </w:rPr>
        <w:t>means any Lender that is not a U.S. Person.</w:t>
      </w:r>
    </w:p>
    <w:p>
      <w:pPr>
        <w:pStyle w:val="TextBody"/>
        <w:bidi w:val="0"/>
        <w:spacing w:before="0" w:after="240"/>
        <w:jc w:val="both"/>
        <w:rPr/>
      </w:pPr>
      <w:r>
        <w:rPr>
          <w:color w:val="000000"/>
        </w:rPr>
        <w:t>“</w:t>
      </w:r>
      <w:r>
        <w:rPr>
          <w:rFonts w:ascii="Times New Roman" w:hAnsi="Times New Roman"/>
          <w:b/>
          <w:i/>
          <w:color w:val="000000"/>
          <w:sz w:val="22"/>
        </w:rPr>
        <w:t>Foreign Subsidiary</w:t>
      </w:r>
      <w:r>
        <w:rPr>
          <w:rFonts w:ascii="Times New Roman" w:hAnsi="Times New Roman"/>
          <w:color w:val="000000"/>
          <w:sz w:val="20"/>
        </w:rPr>
        <w:t xml:space="preserve">” </w:t>
      </w:r>
      <w:r>
        <w:rPr>
          <w:rFonts w:ascii="Times New Roman" w:hAnsi="Times New Roman"/>
          <w:color w:val="000000"/>
          <w:sz w:val="22"/>
        </w:rPr>
        <w:t>means any Subsidiary that is not a Domestic Subsidiary.</w:t>
      </w:r>
    </w:p>
    <w:p>
      <w:pPr>
        <w:pStyle w:val="TextBody"/>
        <w:bidi w:val="0"/>
        <w:spacing w:before="0" w:after="240"/>
        <w:jc w:val="both"/>
        <w:rPr/>
      </w:pPr>
      <w:r>
        <w:rPr>
          <w:color w:val="000000"/>
        </w:rPr>
        <w:t>“</w:t>
      </w:r>
      <w:r>
        <w:rPr>
          <w:rFonts w:ascii="Times New Roman" w:hAnsi="Times New Roman"/>
          <w:b/>
          <w:i/>
          <w:color w:val="000000"/>
          <w:sz w:val="22"/>
        </w:rPr>
        <w:t>Foreign Subsidiary Holding Company</w:t>
      </w:r>
      <w:r>
        <w:rPr>
          <w:rFonts w:ascii="Times New Roman" w:hAnsi="Times New Roman"/>
          <w:color w:val="000000"/>
          <w:sz w:val="20"/>
        </w:rPr>
        <w:t xml:space="preserve">” </w:t>
      </w:r>
      <w:r>
        <w:rPr>
          <w:rFonts w:ascii="Times New Roman" w:hAnsi="Times New Roman"/>
          <w:color w:val="000000"/>
          <w:sz w:val="22"/>
        </w:rPr>
        <w:t>means a Subsidiary substantially all of the assets of which are Equity Interests (including, for this purpose, any debt or other instrument treated as equity for U.S. federal income tax purposes), or Equity Interests and Indebtedness, in one or more CFCs or other Foreign Subsidiary Holding Companies and any other immaterial assets being held incidental thereto; provided that, for the avoidance of doubt, a Subsidiary that would otherwise qualify as a Foreign Subsidiary Holding Company will not fail to qualify as a Foreign Subsidiary Holding Company due to (A) the temporary receipt of cash payments in respect of its Equity Interests or Indebtedness in a CFC so long as such Subsidiary promptly distributes such cash or (B) a capital contribution of cash, so long as such Subsidiary promptly contributes or lends such cash to one or more of its Subsidiaries that are CFCs.</w:t>
      </w:r>
    </w:p>
    <w:p>
      <w:pPr>
        <w:pStyle w:val="TextBody"/>
        <w:bidi w:val="0"/>
        <w:spacing w:before="0" w:after="240"/>
        <w:jc w:val="both"/>
        <w:rPr/>
      </w:pPr>
      <w:r>
        <w:rPr>
          <w:strike/>
          <w:color w:val="FF0000"/>
        </w:rPr>
        <w:t>“</w:t>
      </w:r>
      <w:r>
        <w:rPr>
          <w:rFonts w:ascii="Times New Roman" w:hAnsi="Times New Roman"/>
          <w:b/>
          <w:i/>
          <w:strike/>
          <w:color w:val="FF0000"/>
          <w:sz w:val="22"/>
        </w:rPr>
        <w:t>Free Cash Flow</w:t>
      </w:r>
      <w:r>
        <w:rPr>
          <w:rFonts w:ascii="Times New Roman" w:hAnsi="Times New Roman"/>
          <w:strike/>
          <w:color w:val="FF0000"/>
          <w:sz w:val="20"/>
        </w:rPr>
        <w:t xml:space="preserve">” </w:t>
      </w:r>
      <w:r>
        <w:rPr>
          <w:rFonts w:ascii="Times New Roman" w:hAnsi="Times New Roman"/>
          <w:strike/>
          <w:color w:val="FF0000"/>
          <w:sz w:val="22"/>
        </w:rPr>
        <w:t xml:space="preserve">means, for any period, net cash provided by operating activities </w:t>
      </w:r>
      <w:r>
        <w:rPr>
          <w:rFonts w:ascii="Times New Roman" w:hAnsi="Times New Roman"/>
          <w:strike/>
          <w:color w:val="FF0000"/>
          <w:sz w:val="22"/>
          <w:u w:val="single"/>
        </w:rPr>
        <w:t>less</w:t>
      </w:r>
      <w:r>
        <w:rPr>
          <w:rFonts w:ascii="Times New Roman" w:hAnsi="Times New Roman"/>
          <w:strike/>
          <w:color w:val="FF0000"/>
          <w:sz w:val="20"/>
        </w:rPr>
        <w:t xml:space="preserve"> </w:t>
      </w:r>
      <w:r>
        <w:rPr>
          <w:rFonts w:ascii="Times New Roman" w:hAnsi="Times New Roman"/>
          <w:strike/>
          <w:color w:val="FF0000"/>
          <w:sz w:val="22"/>
        </w:rPr>
        <w:t>Unfinanced Capital Expenditures.</w:t>
      </w:r>
    </w:p>
    <w:p>
      <w:pPr>
        <w:pStyle w:val="TextBody"/>
        <w:bidi w:val="0"/>
        <w:spacing w:before="0" w:after="240"/>
        <w:jc w:val="both"/>
        <w:rPr/>
      </w:pPr>
      <w:r>
        <w:rPr>
          <w:color w:val="000000"/>
        </w:rPr>
        <w:t>“</w:t>
      </w:r>
      <w:r>
        <w:rPr>
          <w:rFonts w:ascii="Times New Roman" w:hAnsi="Times New Roman"/>
          <w:b/>
          <w:i/>
          <w:color w:val="000000"/>
          <w:sz w:val="22"/>
        </w:rPr>
        <w:t>Funding Account</w:t>
      </w:r>
      <w:r>
        <w:rPr>
          <w:rFonts w:ascii="Times New Roman" w:hAnsi="Times New Roman"/>
          <w:color w:val="000000"/>
          <w:sz w:val="20"/>
        </w:rPr>
        <w:t xml:space="preserve">” </w:t>
      </w:r>
      <w:r>
        <w:rPr>
          <w:rFonts w:ascii="Times New Roman" w:hAnsi="Times New Roman"/>
          <w:color w:val="000000"/>
          <w:sz w:val="22"/>
        </w:rPr>
        <w:t>means the deposit account of the Borrower designated from time to time in writing to the Administrative Agent to which the Administrative Agent is authorized by the Borrower to transfer the proceeds of any Borrowings requested or authorized pursuant to this Agreement.</w:t>
      </w:r>
    </w:p>
    <w:p>
      <w:pPr>
        <w:pStyle w:val="TextBody"/>
        <w:bidi w:val="0"/>
        <w:spacing w:before="0" w:after="240"/>
        <w:jc w:val="both"/>
        <w:rPr/>
      </w:pPr>
      <w:r>
        <w:rPr>
          <w:color w:val="000000"/>
        </w:rPr>
        <w:t>“</w:t>
      </w:r>
      <w:r>
        <w:rPr>
          <w:rFonts w:ascii="Times New Roman" w:hAnsi="Times New Roman"/>
          <w:b/>
          <w:i/>
          <w:color w:val="000000"/>
          <w:sz w:val="22"/>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U.S.</w:t>
      </w:r>
    </w:p>
    <w:p>
      <w:pPr>
        <w:pStyle w:val="TextBody"/>
        <w:bidi w:val="0"/>
        <w:spacing w:before="0" w:after="240"/>
        <w:jc w:val="both"/>
        <w:rPr/>
      </w:pPr>
      <w:r>
        <w:rPr>
          <w:color w:val="000000"/>
        </w:rPr>
        <w:t>“</w:t>
      </w:r>
      <w:r>
        <w:rPr>
          <w:rFonts w:ascii="Times New Roman" w:hAnsi="Times New Roman"/>
          <w:b/>
          <w:i/>
          <w:color w:val="000000"/>
          <w:sz w:val="22"/>
        </w:rPr>
        <w:t>Governmental Authority</w:t>
      </w:r>
      <w:r>
        <w:rPr>
          <w:rFonts w:ascii="Times New Roman" w:hAnsi="Times New Roman"/>
          <w:color w:val="000000"/>
          <w:sz w:val="20"/>
        </w:rPr>
        <w:t xml:space="preserve">” </w:t>
      </w:r>
      <w:r>
        <w:rPr>
          <w:rFonts w:ascii="Times New Roman" w:hAnsi="Times New Roman"/>
          <w:color w:val="000000"/>
          <w:sz w:val="22"/>
        </w:rPr>
        <w:t>means the government of the U.S., any other nation or any political subdivision thereof, whether state, local or otherwise,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b/>
          <w:i/>
          <w:color w:val="000000"/>
          <w:sz w:val="22"/>
        </w:rPr>
        <w:t>Gross IPO Proceeds</w:t>
      </w:r>
      <w:r>
        <w:rPr>
          <w:rFonts w:ascii="Times New Roman" w:hAnsi="Times New Roman"/>
          <w:color w:val="000000"/>
          <w:sz w:val="20"/>
        </w:rPr>
        <w:t xml:space="preserve">” </w:t>
      </w:r>
      <w:r>
        <w:rPr>
          <w:rFonts w:ascii="Times New Roman" w:hAnsi="Times New Roman"/>
          <w:color w:val="000000"/>
          <w:sz w:val="22"/>
        </w:rPr>
        <w:t>means the amount of cash proceeds actually received by the Borrower from the issuance of shares pursuant to the IPO.</w:t>
      </w:r>
    </w:p>
    <w:p>
      <w:pPr>
        <w:pStyle w:val="TextBody"/>
        <w:bidi w:val="0"/>
        <w:spacing w:before="0" w:after="240"/>
        <w:jc w:val="both"/>
        <w:rPr/>
      </w:pPr>
      <w:r>
        <w:rPr>
          <w:color w:val="000000"/>
        </w:rPr>
        <w:t>“</w:t>
      </w:r>
      <w:r>
        <w:rPr>
          <w:rFonts w:ascii="Times New Roman" w:hAnsi="Times New Roman"/>
          <w:b/>
          <w:i/>
          <w:color w:val="000000"/>
          <w:sz w:val="22"/>
        </w:rPr>
        <w:t>Guarantee</w:t>
      </w:r>
      <w:r>
        <w:rPr>
          <w:rFonts w:ascii="Times New Roman" w:hAnsi="Times New Roman"/>
          <w:color w:val="000000"/>
          <w:sz w:val="20"/>
        </w:rPr>
        <w:t xml:space="preserve">” </w:t>
      </w:r>
      <w:r>
        <w:rPr>
          <w:rFonts w:ascii="Times New Roman" w:hAnsi="Times New Roman"/>
          <w:color w:val="000000"/>
          <w:sz w:val="22"/>
        </w:rPr>
        <w:t>of or by any Person (the “</w:t>
      </w:r>
      <w:r>
        <w:rPr>
          <w:rFonts w:ascii="Times New Roman" w:hAnsi="Times New Roman"/>
          <w:b/>
          <w:i/>
          <w:color w:val="000000"/>
          <w:sz w:val="22"/>
        </w:rPr>
        <w:t>guarantor</w:t>
      </w:r>
      <w:r>
        <w:rPr>
          <w:rFonts w:ascii="Times New Roman" w:hAnsi="Times New Roman"/>
          <w:color w:val="000000"/>
          <w:sz w:val="20"/>
        </w:rPr>
        <w:t>”</w:t>
      </w:r>
      <w:r>
        <w:rPr>
          <w:rFonts w:ascii="Times New Roman" w:hAnsi="Times New Roman"/>
          <w:color w:val="000000"/>
          <w:sz w:val="22"/>
        </w:rPr>
        <w:t>) means any obligation, contingent or otherwise, of the guarantor guaranteeing any Indebtedness of any other Person (the “</w:t>
      </w:r>
      <w:r>
        <w:rPr>
          <w:rFonts w:ascii="Times New Roman" w:hAnsi="Times New Roman"/>
          <w:b/>
          <w:i/>
          <w:color w:val="000000"/>
          <w:sz w:val="22"/>
        </w:rPr>
        <w:t>primary obligor</w:t>
      </w:r>
      <w:r>
        <w:rPr>
          <w:rFonts w:ascii="Times New Roman" w:hAnsi="Times New Roman"/>
          <w:color w:val="000000"/>
          <w:sz w:val="20"/>
        </w:rPr>
        <w:t>”</w:t>
      </w:r>
      <w:r>
        <w:rPr>
          <w:rFonts w:ascii="Times New Roman" w:hAnsi="Times New Roman"/>
          <w:color w:val="000000"/>
          <w:sz w:val="22"/>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i/>
          <w:color w:val="000000"/>
          <w:sz w:val="22"/>
        </w:rPr>
        <w:t>provided</w:t>
      </w:r>
      <w:r>
        <w:rPr>
          <w:rFonts w:ascii="Times New Roman" w:hAnsi="Times New Roman"/>
          <w:color w:val="000000"/>
          <w:sz w:val="22"/>
        </w:rPr>
        <w:t>, however, that the term “Guarantee” shall not include endorsements of instruments for deposit or collection in the ordinary course of business or customary and reasonable indemnity obligations or product warranties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r>
        <w:rPr>
          <w:rFonts w:ascii="Times New Roman" w:hAnsi="Times New Roman"/>
          <w:i/>
          <w:color w:val="000000"/>
          <w:sz w:val="22"/>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Guaranteed Obligations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10.01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Guarantor Payment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10.11(a)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Guarantors</w:t>
      </w:r>
      <w:r>
        <w:rPr>
          <w:rFonts w:ascii="Times New Roman" w:hAnsi="Times New Roman"/>
          <w:color w:val="000000"/>
          <w:sz w:val="20"/>
        </w:rPr>
        <w:t xml:space="preserve">” </w:t>
      </w:r>
      <w:r>
        <w:rPr>
          <w:rFonts w:ascii="Times New Roman" w:hAnsi="Times New Roman"/>
          <w:color w:val="000000"/>
          <w:sz w:val="22"/>
        </w:rPr>
        <w:t>means the Borrower (with respect to the Banking Services Obligations and Swap Agreement Obligations of each other Guarantor) and each direct or indirect Material Domestic Subsidiary of the Borrower (other than Subsidiaries that are Excluded Subsidiaries), and the term “</w:t>
      </w:r>
      <w:r>
        <w:rPr>
          <w:rFonts w:ascii="Times New Roman" w:hAnsi="Times New Roman"/>
          <w:b/>
          <w:i/>
          <w:color w:val="000000"/>
          <w:sz w:val="22"/>
        </w:rPr>
        <w:t>Guarantor</w:t>
      </w:r>
      <w:r>
        <w:rPr>
          <w:rFonts w:ascii="Times New Roman" w:hAnsi="Times New Roman"/>
          <w:color w:val="000000"/>
          <w:sz w:val="20"/>
        </w:rPr>
        <w:t xml:space="preserve">” </w:t>
      </w:r>
      <w:r>
        <w:rPr>
          <w:rFonts w:ascii="Times New Roman" w:hAnsi="Times New Roman"/>
          <w:color w:val="000000"/>
          <w:sz w:val="22"/>
        </w:rPr>
        <w:t>means each or any one of them individually.</w:t>
      </w:r>
    </w:p>
    <w:p>
      <w:pPr>
        <w:pStyle w:val="TextBody"/>
        <w:bidi w:val="0"/>
        <w:spacing w:before="0" w:after="240"/>
        <w:jc w:val="both"/>
        <w:rPr/>
      </w:pPr>
      <w:r>
        <w:rPr>
          <w:color w:val="000000"/>
        </w:rPr>
        <w:t>“</w:t>
      </w:r>
      <w:r>
        <w:rPr>
          <w:rFonts w:ascii="Times New Roman" w:hAnsi="Times New Roman"/>
          <w:b/>
          <w:i/>
          <w:color w:val="000000"/>
          <w:sz w:val="22"/>
        </w:rPr>
        <w:t>Hazardous Materials</w:t>
      </w:r>
      <w:r>
        <w:rPr>
          <w:rFonts w:ascii="Times New Roman" w:hAnsi="Times New Roman"/>
          <w:color w:val="000000"/>
          <w:sz w:val="20"/>
        </w:rPr>
        <w:t xml:space="preserve">” </w:t>
      </w:r>
      <w:r>
        <w:rPr>
          <w:rFonts w:ascii="Times New Roman" w:hAnsi="Times New Roman"/>
          <w:color w:val="000000"/>
          <w:sz w:val="22"/>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due to their dangerous or deleterious properties or characteristics.</w:t>
      </w:r>
    </w:p>
    <w:p>
      <w:pPr>
        <w:pStyle w:val="TextBody"/>
        <w:bidi w:val="0"/>
        <w:spacing w:before="0" w:after="240"/>
        <w:jc w:val="both"/>
        <w:rPr/>
      </w:pPr>
      <w:r>
        <w:rPr>
          <w:color w:val="000000"/>
        </w:rPr>
        <w:t>“</w:t>
      </w:r>
      <w:r>
        <w:rPr>
          <w:rFonts w:ascii="Times New Roman" w:hAnsi="Times New Roman"/>
          <w:b/>
          <w:i/>
          <w:color w:val="000000"/>
          <w:sz w:val="22"/>
        </w:rPr>
        <w:t>Immaterial Subsidiary</w:t>
      </w:r>
      <w:r>
        <w:rPr>
          <w:rFonts w:ascii="Times New Roman" w:hAnsi="Times New Roman"/>
          <w:color w:val="000000"/>
          <w:sz w:val="20"/>
        </w:rPr>
        <w:t xml:space="preserve">” </w:t>
      </w:r>
      <w:r>
        <w:rPr>
          <w:rFonts w:ascii="Times New Roman" w:hAnsi="Times New Roman"/>
          <w:color w:val="000000"/>
          <w:sz w:val="22"/>
        </w:rPr>
        <w:t xml:space="preserve">means each Subsidiary (other than Subsidiaries that are Excluded Subsidiaries (other than pursuant to subsection (l) thereof)) (a) which, as of the most recent fiscal quarter of the Borrower, for the period of four consecutive fiscal quarters then ended (determined in accordance with GAAP), has not contributed greater than five percent (5.0%) of Consolidated Total Revenues of the Borrower and its Subsidiaries for such period and (b) which has not contributed greater than five percent (5.0%) of Consolidated Total Assets as of such date; </w:t>
      </w:r>
      <w:r>
        <w:rPr>
          <w:rFonts w:ascii="Times New Roman" w:hAnsi="Times New Roman"/>
          <w:i/>
          <w:color w:val="000000"/>
          <w:sz w:val="22"/>
        </w:rPr>
        <w:t xml:space="preserve">provided </w:t>
      </w:r>
      <w:r>
        <w:rPr>
          <w:rFonts w:ascii="Times New Roman" w:hAnsi="Times New Roman"/>
          <w:color w:val="000000"/>
          <w:sz w:val="22"/>
        </w:rPr>
        <w:t>that, if at any time the aggregate amount of Consolidated Total Revenues or Consolidated Total Assets attributable to all Domestic Subsidiaries that are Immaterial Subsidiaries (other than Domestic Subsidiaries that are otherwise Excluded Subsidiaries) exceeds ten percent (10.0%) of Consolidated Total Revenues for any such period or ten percent (10.0%) of Consolidated Total Assets as of the end of any such fiscal quarter, the Borrower (or, in the event the Borrower has failed to do so within ten (10) days, the Administrative Agent) shall designate sufficient Domestic Subsidiaries as “non-Immaterial Subsidiaries” to eliminate such excess.</w:t>
      </w:r>
    </w:p>
    <w:p>
      <w:pPr>
        <w:pStyle w:val="TextBody"/>
        <w:bidi w:val="0"/>
        <w:spacing w:before="0" w:after="240"/>
        <w:jc w:val="both"/>
        <w:rPr/>
      </w:pPr>
      <w:r>
        <w:rPr>
          <w:color w:val="000000"/>
        </w:rPr>
        <w:t>“</w:t>
      </w:r>
      <w:r>
        <w:rPr>
          <w:rFonts w:ascii="Times New Roman" w:hAnsi="Times New Roman"/>
          <w:b/>
          <w:i/>
          <w:color w:val="000000"/>
          <w:sz w:val="22"/>
        </w:rPr>
        <w:t>Increasing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2.22(a)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Incremental Cap</w:t>
      </w:r>
      <w:r>
        <w:rPr>
          <w:rFonts w:ascii="Times New Roman" w:hAnsi="Times New Roman"/>
          <w:color w:val="000000"/>
          <w:sz w:val="20"/>
        </w:rPr>
        <w:t xml:space="preserve">” </w:t>
      </w:r>
      <w:r>
        <w:rPr>
          <w:rFonts w:ascii="Times New Roman" w:hAnsi="Times New Roman"/>
          <w:color w:val="000000"/>
          <w:sz w:val="22"/>
        </w:rPr>
        <w:t xml:space="preserve">means, as of any date of determination, (a) $100 million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so long as Consolidated EBITDA (as of the Test Period then most recently ended) is a positive number, the maximum aggregate principal amount that can be incurred without causing the Consolidated First Lien Net Leverage Ratio after giving effect to the incurrence or establishment, as applicable, of any Commitment increase (which shall assume that all such Indebtedness is Consolidated First Lien Debt and the full amount of any incremental Commitment increase established at such time is fully drawn) and the use of proceeds thereof, on a Pro Forma Basis, to exceed 2.50 to 1.00; </w:t>
      </w:r>
      <w:r>
        <w:rPr>
          <w:rFonts w:ascii="Times New Roman" w:hAnsi="Times New Roman"/>
          <w:i/>
          <w:color w:val="000000"/>
          <w:sz w:val="22"/>
        </w:rPr>
        <w:t>provided</w:t>
      </w:r>
      <w:r>
        <w:rPr>
          <w:rFonts w:ascii="Times New Roman" w:hAnsi="Times New Roman"/>
          <w:color w:val="000000"/>
          <w:sz w:val="22"/>
        </w:rPr>
        <w:t>, however, that if incremental Commitments incurred under this clause (a) are incurred concurrently with the incurrence of incremental Commitments in reliance on clause (b) above (or any other fixed basket hereunder), the Consolidated First Lien Net Leverage Ratio</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shall be permitted to exceed the Consolidated First Lien Net Leverage Ratio set forth in clause (b) above to the extent of such amounts incurred in reliance on clause (a) (or any other fixed basket hereunder) solely for the purpose of determining whether such concurrently incurred amounts incurred under this clause (b) are permissible (it being understood that (I) if the Consolidated First Lien Net Leverage Ratio incurrence test is met, then, at the election of the Borrower, any incremental Commitment or other Indebtedness permitted hereunder may be incurred under clause (b) above regardless of whether there is capacity under clause (a) above (or any other fixed basket) and (II) any portion of any incremental Commitment or other Indebtedness permitted hereunder incurred in reliance on clause (a) (or any other fixed basket) shall be automatically reclassified as incurred under clause (b) if the Borrower meets the Consolidated First Lien Net Leverage Ratio under clause (b) at such time on a Pro Forma Basis)</w:t>
      </w:r>
      <w:r>
        <w:rPr>
          <w:rFonts w:ascii="Times New Roman" w:hAnsi="Times New Roman"/>
          <w:color w:val="0000FF"/>
          <w:sz w:val="22"/>
          <w:u w:val="single"/>
        </w:rPr>
        <w:t>; provided further that, immediately after giving effect to the 2026 Incremental Revolving Commitments (as defined in the Second Amendment), the Incremental Cap pursuant to clause (a) above shall be $100,000,000</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Indebtedness</w:t>
      </w:r>
      <w:r>
        <w:rPr>
          <w:rFonts w:ascii="Times New Roman" w:hAnsi="Times New Roman"/>
          <w:color w:val="000000"/>
          <w:sz w:val="20"/>
        </w:rPr>
        <w:t xml:space="preserve">” </w:t>
      </w:r>
      <w:r>
        <w:rPr>
          <w:rFonts w:ascii="Times New Roman" w:hAnsi="Times New Roman"/>
          <w:color w:val="000000"/>
          <w:sz w:val="22"/>
        </w:rPr>
        <w:t>of any Person means, without duplication, (a) all obligations of such Person for borrowed money, (b) all obligations of such Person evidenced by bonds, debentures, notes or similar instruments, (c) [intentionally omitted], (d) [intentionally omitted], (e) all obligations of such Person in respect of the deferred purchase price of property or services, (f) all Indebtedness of others described in clauses (a) through (e) and clauses (f) through (k) herein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described in clauses (a) through (f) and clauses (h) through (k) herein, (h) all Capital Lease Obligations of such Person, (i) all obligations, contingent or otherwise, of such Person as an account party in respect of letters of credit, letters of guaranty, and bankers’ acceptances, in each case, only to the extent not cash collateralized, as applicable, (j) all obligations of such Person to purchase, redeem, retire or otherwise acquire for value any Disqualified Equity Interests, and (k) net obligations payable at the termination of any and all Swap Agreements determined by reference to the termination value thereof to the extent not cash collateralized. For all purposes hereof, the Indebtedness of any Person shall (A) include the Indebtedness of any partnership or joint venture (other than a joint venture that is itself a corporation or limited liability company) in which such Person is a general partner, except to the extent such Person’s liability for such Indebtedness is otherwise limited and only to the extent such Indebtedness would be included in the calculation of Consolidated Total Net Debt and (B) in the case of the Borrower and its Subsidiaries, exclude all intercompany Indebtedness having a term not exceeding 364 days (inclusive of any roll-over or extensions of terms) and made in the ordinary course of business or otherwise incurred through substantially concurrent interim transfers, loans or advances to facilitate a Permitted Acquisition or other Investment permitted hereunder. Notwithstanding anything to the contrary set forth herein, in no event shall the following constitute Indebtedness: (i) accruals for (A) payroll and (B) other non-interest bearing liabilities accrued in the ordinary course of business, (ii) trade accounts payable, deferred revenues, liabilities associated with customer prepayments and deposits and other accrued obligations, in each case incurred in the ordinary course of business, (iii) transfer pricing and accruals for payroll and other operating expenses accrued in the ordinary course of business, in each case incurred in the ordinary course of business, (iv) operating leases (including, without limitation, real property leases that, pursuant to GAAP, would not be classified and accounted for as a balance sheet liability), (v) customary obligations under employment agreements and deferred compensation, (vi) prepaid or deferred revenue and deferred tax liabilities, (vii) any earn-out obligation until such obligation is not paid for thirty (30) days after becoming earned, due and payable, (viii) purchase price holdbacks in respect of a portion of the purchase price of an asset to satisfy warranty or other unperformed obligations of the respective seller, (ix) contingent obligations incurred in the ordinary course of business, (vi) any obligations in respect of underfunded employee medical benefits, (x) customary obligations under employment agreements and deferred compensation, (xi) to the extent constituting Indebtedness, sale and leaseback arrangements and (xii) current accounts payable incurred in the ordinary course of business.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Indemnified Taxes</w:t>
      </w:r>
      <w:r>
        <w:rPr>
          <w:rFonts w:ascii="Times New Roman" w:hAnsi="Times New Roman"/>
          <w:color w:val="000000"/>
          <w:sz w:val="20"/>
        </w:rPr>
        <w:t xml:space="preserve">” </w:t>
      </w:r>
      <w:r>
        <w:rPr>
          <w:rFonts w:ascii="Times New Roman" w:hAnsi="Times New Roman"/>
          <w:color w:val="000000"/>
          <w:sz w:val="22"/>
        </w:rPr>
        <w:t>means (a) Taxes, other than Excluded Taxes, imposed on or with respect to any payment made by or on account of any obligation of any Loan Party under any Loan Document and (b) to the extent not otherwise described in (a) hereof, Other Taxes.</w:t>
      </w:r>
    </w:p>
    <w:p>
      <w:pPr>
        <w:pStyle w:val="TextBody"/>
        <w:bidi w:val="0"/>
        <w:spacing w:before="0" w:after="240"/>
        <w:jc w:val="both"/>
        <w:rPr/>
      </w:pPr>
      <w:r>
        <w:rPr>
          <w:color w:val="000000"/>
        </w:rPr>
        <w:t>“</w:t>
      </w:r>
      <w:r>
        <w:rPr>
          <w:rFonts w:ascii="Times New Roman" w:hAnsi="Times New Roman"/>
          <w:b/>
          <w:i/>
          <w:color w:val="000000"/>
          <w:sz w:val="22"/>
        </w:rPr>
        <w:t>Indemnitee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Ineligible Institution</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9.04(b)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Information</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9.12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Intellectual Property</w:t>
      </w:r>
      <w:r>
        <w:rPr>
          <w:rFonts w:ascii="Times New Roman" w:hAnsi="Times New Roman"/>
          <w:color w:val="000000"/>
          <w:sz w:val="20"/>
        </w:rPr>
        <w:t xml:space="preserve">” </w:t>
      </w:r>
      <w:r>
        <w:rPr>
          <w:rFonts w:ascii="Times New Roman" w:hAnsi="Times New Roman"/>
          <w:color w:val="000000"/>
          <w:sz w:val="22"/>
        </w:rPr>
        <w:t>has the meaning assigned to such term in the Security Agreement.</w:t>
      </w:r>
    </w:p>
    <w:p>
      <w:pPr>
        <w:pStyle w:val="TextBody"/>
        <w:bidi w:val="0"/>
        <w:spacing w:before="0" w:after="240"/>
        <w:jc w:val="both"/>
        <w:rPr/>
      </w:pPr>
      <w:r>
        <w:rPr>
          <w:color w:val="000000"/>
        </w:rPr>
        <w:t>“</w:t>
      </w:r>
      <w:r>
        <w:rPr>
          <w:rFonts w:ascii="Times New Roman" w:hAnsi="Times New Roman"/>
          <w:b/>
          <w:i/>
          <w:color w:val="000000"/>
          <w:sz w:val="22"/>
        </w:rPr>
        <w:t>Intercompany Note</w:t>
      </w:r>
      <w:r>
        <w:rPr>
          <w:rFonts w:ascii="Times New Roman" w:hAnsi="Times New Roman"/>
          <w:color w:val="000000"/>
          <w:sz w:val="20"/>
        </w:rPr>
        <w:t xml:space="preserve">” </w:t>
      </w:r>
      <w:r>
        <w:rPr>
          <w:rFonts w:ascii="Times New Roman" w:hAnsi="Times New Roman"/>
          <w:color w:val="000000"/>
          <w:sz w:val="22"/>
        </w:rPr>
        <w:t>means that certain intercompany note in the form of Exhibit L, dated as of the Effective Date, among the Borrower and its Subsidiaries.</w:t>
      </w:r>
    </w:p>
    <w:p>
      <w:pPr>
        <w:pStyle w:val="TextBody"/>
        <w:bidi w:val="0"/>
        <w:spacing w:before="0" w:after="240"/>
        <w:jc w:val="both"/>
        <w:rPr/>
      </w:pPr>
      <w:r>
        <w:rPr>
          <w:color w:val="000000"/>
        </w:rPr>
        <w:t>“</w:t>
      </w:r>
      <w:r>
        <w:rPr>
          <w:rFonts w:ascii="Times New Roman" w:hAnsi="Times New Roman"/>
          <w:b/>
          <w:i/>
          <w:color w:val="000000"/>
          <w:sz w:val="22"/>
        </w:rPr>
        <w:t>Interest Election Request</w:t>
      </w:r>
      <w:r>
        <w:rPr>
          <w:rFonts w:ascii="Times New Roman" w:hAnsi="Times New Roman"/>
          <w:color w:val="000000"/>
          <w:sz w:val="20"/>
        </w:rPr>
        <w:t xml:space="preserve">” </w:t>
      </w:r>
      <w:r>
        <w:rPr>
          <w:rFonts w:ascii="Times New Roman" w:hAnsi="Times New Roman"/>
          <w:color w:val="000000"/>
          <w:sz w:val="22"/>
        </w:rPr>
        <w:t xml:space="preserve">means a request by the Borrower to convert or continue a Revolving Borrowing in accordance with </w:t>
      </w:r>
      <w:r>
        <w:rPr>
          <w:rFonts w:ascii="Times New Roman" w:hAnsi="Times New Roman"/>
          <w:color w:val="000000"/>
          <w:sz w:val="22"/>
          <w:u w:val="single"/>
        </w:rPr>
        <w:t>Section 2.08</w:t>
      </w:r>
      <w:r>
        <w:rPr>
          <w:rFonts w:ascii="Times New Roman" w:hAnsi="Times New Roman"/>
          <w:color w:val="000000"/>
          <w:sz w:val="22"/>
        </w:rPr>
        <w:t>, which shall be substantially in the form approved by the Administrative Agent and separately provided to the Borrower.</w:t>
      </w:r>
    </w:p>
    <w:p>
      <w:pPr>
        <w:pStyle w:val="TextBody"/>
        <w:bidi w:val="0"/>
        <w:spacing w:before="0" w:after="240"/>
        <w:jc w:val="both"/>
        <w:rPr/>
      </w:pPr>
      <w:r>
        <w:rPr>
          <w:color w:val="000000"/>
        </w:rPr>
        <w:t>“</w:t>
      </w:r>
      <w:r>
        <w:rPr>
          <w:rFonts w:ascii="Times New Roman" w:hAnsi="Times New Roman"/>
          <w:b/>
          <w:i/>
          <w:color w:val="000000"/>
          <w:sz w:val="22"/>
        </w:rPr>
        <w:t>Interest Payment Date</w:t>
      </w:r>
      <w:r>
        <w:rPr>
          <w:rFonts w:ascii="Times New Roman" w:hAnsi="Times New Roman"/>
          <w:color w:val="000000"/>
          <w:sz w:val="20"/>
        </w:rPr>
        <w:t xml:space="preserve">” </w:t>
      </w:r>
      <w:r>
        <w:rPr>
          <w:rFonts w:ascii="Times New Roman" w:hAnsi="Times New Roman"/>
          <w:color w:val="000000"/>
          <w:sz w:val="22"/>
        </w:rPr>
        <w:t>means (a) with respect to any ABR Loan (other than a Swingline Loan), the last day of each March, June, September and December and the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(c) with respect to any Term Benchmark Loan, the last day of each Interest Period applicable to the Borrowing of which such Loan is a part and, in the case of a Term Benchmark Borrowing with an Interest Period of more than three (3) months’ duration, each day prior to the last day of such Interest Period that occurs at intervals of three (3) months’ duration after the first (1st) day of such Interest Period and the Maturity Date and (d) with respect to any Swingline Loan, the day that such Loan is required to be repaid and the Maturity Date.</w:t>
      </w:r>
    </w:p>
    <w:p>
      <w:pPr>
        <w:pStyle w:val="TextBody"/>
        <w:bidi w:val="0"/>
        <w:spacing w:before="0" w:after="240"/>
        <w:jc w:val="both"/>
        <w:rPr/>
      </w:pPr>
      <w:r>
        <w:rPr>
          <w:color w:val="000000"/>
        </w:rPr>
        <w:t>“</w:t>
      </w:r>
      <w:r>
        <w:rPr>
          <w:rFonts w:ascii="Times New Roman" w:hAnsi="Times New Roman"/>
          <w:b/>
          <w:i/>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means with respect to any Term Benchmark Borrowing, the period commencing on the date of such Borrowing and ending on the numerically corresponding day in the calendar month that is one (1), three (3) or six (6) months thereafter (subject to the availability for the Benchmark applicable to the relevant Loan or Commitment), as the Borrower may elect; </w:t>
      </w:r>
      <w:r>
        <w:rPr>
          <w:rFonts w:ascii="Times New Roman" w:hAnsi="Times New Roman"/>
          <w:i/>
          <w:color w:val="000000"/>
          <w:sz w:val="22"/>
        </w:rPr>
        <w:t xml:space="preserve">provided </w:t>
      </w:r>
      <w:r>
        <w:rPr>
          <w:rFonts w:ascii="Times New Roman" w:hAnsi="Times New Roman"/>
          <w:color w:val="000000"/>
          <w:sz w:val="22"/>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hAnsi="Times New Roman"/>
          <w:color w:val="000000"/>
          <w:sz w:val="22"/>
          <w:u w:val="single"/>
        </w:rPr>
        <w:t>Section 2.14(e)</w:t>
      </w:r>
      <w:r>
        <w:rPr>
          <w:rFonts w:ascii="Times New Roman" w:hAnsi="Times New Roman"/>
          <w:color w:val="000000"/>
          <w:sz w:val="20"/>
        </w:rPr>
        <w:t xml:space="preserve"> </w:t>
      </w:r>
      <w:r>
        <w:rPr>
          <w:rFonts w:ascii="Times New Roman" w:hAnsi="Times New Roman"/>
          <w:color w:val="000000"/>
          <w:sz w:val="22"/>
        </w:rPr>
        <w:t>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pStyle w:val="TextBody"/>
        <w:bidi w:val="0"/>
        <w:spacing w:before="0" w:after="240"/>
        <w:jc w:val="both"/>
        <w:rPr/>
      </w:pPr>
      <w:r>
        <w:rPr>
          <w:color w:val="000000"/>
        </w:rPr>
        <w:t>“</w:t>
      </w:r>
      <w:r>
        <w:rPr>
          <w:rFonts w:ascii="Times New Roman" w:hAnsi="Times New Roman"/>
          <w:b/>
          <w:i/>
          <w:color w:val="000000"/>
          <w:sz w:val="22"/>
        </w:rPr>
        <w:t>Investment</w:t>
      </w:r>
      <w:r>
        <w:rPr>
          <w:rFonts w:ascii="Times New Roman" w:hAnsi="Times New Roman"/>
          <w:color w:val="000000"/>
          <w:sz w:val="20"/>
        </w:rPr>
        <w:t xml:space="preserve">” </w:t>
      </w:r>
      <w:r>
        <w:rPr>
          <w:rFonts w:ascii="Times New Roman" w:hAnsi="Times New Roman"/>
          <w:color w:val="000000"/>
          <w:sz w:val="22"/>
        </w:rPr>
        <w:t xml:space="preserve">means, as applied to the Borrower and its Subsidiaries, (a) the purchase or acquisition of any Equity Interest, indebtedness or other securities (including any option, warrant or other right to acquire any of the foregoing) of any other Person (including any Subsidiary), (b) any loan, advance or extension of credit (excluding accounts receivable, credit card and debt receivables and trade credit, in each case arising in the ordinary course of business) to, or contribution to the capital of, or Guarantee of any obligations of, any other Person (including any Subsidiary), and (c) any Acquisition; </w:t>
      </w:r>
      <w:r>
        <w:rPr>
          <w:rFonts w:ascii="Times New Roman" w:hAnsi="Times New Roman"/>
          <w:i/>
          <w:color w:val="000000"/>
          <w:sz w:val="22"/>
        </w:rPr>
        <w:t>provided</w:t>
      </w:r>
      <w:r>
        <w:rPr>
          <w:rFonts w:ascii="Times New Roman" w:hAnsi="Times New Roman"/>
          <w:color w:val="000000"/>
          <w:sz w:val="22"/>
        </w:rPr>
        <w:t>, that</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Investments shall not include, in the case of the Borrower and the Subsidiaries, intercompany loans, advances, or Indebtedness made to or owing by the Borrower or a Subsidiary having a term not exceeding 364 days (inclusive of any roll-over or extensions of terms) and made in the ordinary course of business; </w:t>
      </w:r>
      <w:r>
        <w:rPr>
          <w:rFonts w:ascii="Times New Roman" w:hAnsi="Times New Roman"/>
          <w:i/>
          <w:color w:val="000000"/>
          <w:sz w:val="22"/>
        </w:rPr>
        <w:t>provided, further</w:t>
      </w:r>
      <w:r>
        <w:rPr>
          <w:rFonts w:ascii="Times New Roman" w:hAnsi="Times New Roman"/>
          <w:color w:val="000000"/>
          <w:sz w:val="22"/>
        </w:rPr>
        <w:t xml:space="preserve">, that, in the event that any Investment is made by the Borrower or any Subsidiary in any Person through substantially concurrent interim transfers of any amount through the Borrower or any Subsidiaries, then such other substantially concurrent interim transfers shall be disregarded for purposes of </w:t>
      </w:r>
      <w:r>
        <w:rPr>
          <w:rFonts w:ascii="Times New Roman" w:hAnsi="Times New Roman"/>
          <w:color w:val="000000"/>
          <w:sz w:val="22"/>
          <w:u w:val="single"/>
        </w:rPr>
        <w:t>Section 6.04</w:t>
      </w:r>
      <w:r>
        <w:rPr>
          <w:rFonts w:ascii="Times New Roman" w:hAnsi="Times New Roman"/>
          <w:color w:val="000000"/>
          <w:sz w:val="22"/>
        </w:rPr>
        <w:t>. The amount of any Investment shall be the original principal or capital amount thereof less all returns of principal or equity thereon (without adjustment by reason of the financial condition of such other Person) and shall, if made by the transfer or exchange of property other than cash, be deemed to have been made in an original principal or capital amount equal to the fair market value of such property exchanged.</w:t>
      </w:r>
    </w:p>
    <w:p>
      <w:pPr>
        <w:pStyle w:val="TextBody"/>
        <w:bidi w:val="0"/>
        <w:spacing w:before="0" w:after="240"/>
        <w:jc w:val="both"/>
        <w:rPr/>
      </w:pPr>
      <w:r>
        <w:rPr>
          <w:color w:val="000000"/>
        </w:rPr>
        <w:t>“</w:t>
      </w:r>
      <w:r>
        <w:rPr>
          <w:rFonts w:ascii="Times New Roman" w:hAnsi="Times New Roman"/>
          <w:b/>
          <w:i/>
          <w:color w:val="000000"/>
          <w:sz w:val="22"/>
        </w:rPr>
        <w:t>IPO</w:t>
      </w:r>
      <w:r>
        <w:rPr>
          <w:rFonts w:ascii="Times New Roman" w:hAnsi="Times New Roman"/>
          <w:color w:val="000000"/>
          <w:sz w:val="20"/>
        </w:rPr>
        <w:t xml:space="preserve">” </w:t>
      </w:r>
      <w:r>
        <w:rPr>
          <w:rFonts w:ascii="Times New Roman" w:hAnsi="Times New Roman"/>
          <w:color w:val="000000"/>
          <w:sz w:val="22"/>
        </w:rPr>
        <w:t>means the initial public offering and distribution of certain of the common Equity Interests of the Borrower pursuant to the Form S-1 Registration Statement under the Securities Act of 1933, as amended, that was filed July 28, 2025.</w:t>
      </w:r>
    </w:p>
    <w:p>
      <w:pPr>
        <w:pStyle w:val="TextBody"/>
        <w:bidi w:val="0"/>
        <w:spacing w:before="0" w:after="240"/>
        <w:jc w:val="both"/>
        <w:rPr/>
      </w:pPr>
      <w:r>
        <w:rPr>
          <w:color w:val="000000"/>
        </w:rPr>
        <w:t>“</w:t>
      </w:r>
      <w:r>
        <w:rPr>
          <w:rFonts w:ascii="Times New Roman" w:hAnsi="Times New Roman"/>
          <w:b/>
          <w:i/>
          <w:color w:val="000000"/>
          <w:sz w:val="22"/>
        </w:rPr>
        <w:t>IPO Proceeds Condition</w:t>
      </w:r>
      <w:r>
        <w:rPr>
          <w:rFonts w:ascii="Times New Roman" w:hAnsi="Times New Roman"/>
          <w:color w:val="000000"/>
          <w:sz w:val="20"/>
        </w:rPr>
        <w:t xml:space="preserve">” </w:t>
      </w:r>
      <w:r>
        <w:rPr>
          <w:rFonts w:ascii="Times New Roman" w:hAnsi="Times New Roman"/>
          <w:color w:val="000000"/>
          <w:sz w:val="22"/>
        </w:rPr>
        <w:t>means the Borrower shall have received minimum Gross IPO Proceeds of $500,000,000.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spacing w:before="0" w:after="240"/>
        <w:jc w:val="both"/>
        <w:rPr/>
      </w:pPr>
      <w:r>
        <w:rPr>
          <w:color w:val="000000"/>
        </w:rPr>
        <w:t>“</w:t>
      </w:r>
      <w:r>
        <w:rPr>
          <w:rFonts w:ascii="Times New Roman" w:hAnsi="Times New Roman"/>
          <w:b/>
          <w:i/>
          <w:color w:val="000000"/>
          <w:sz w:val="22"/>
        </w:rPr>
        <w:t>Issuing Bank</w:t>
      </w:r>
      <w:r>
        <w:rPr>
          <w:rFonts w:ascii="Times New Roman" w:hAnsi="Times New Roman"/>
          <w:color w:val="000000"/>
          <w:sz w:val="20"/>
        </w:rPr>
        <w:t xml:space="preserve">” </w:t>
      </w:r>
      <w:r>
        <w:rPr>
          <w:rFonts w:ascii="Times New Roman" w:hAnsi="Times New Roman"/>
          <w:color w:val="000000"/>
          <w:sz w:val="22"/>
        </w:rPr>
        <w:t xml:space="preserve">means Wells Fargo, JPMorgan Chase Bank, N.A., Goldman Sachs Lending Partners LLC and any other Lender that agrees to act as an Issuing Bank (in each case, through itself or through one of its designated affiliates or branch offices), each in its capacity as the issuer of Letters of Credit hereunder, and its successors in such capacity as provided in </w:t>
      </w:r>
      <w:r>
        <w:rPr>
          <w:rFonts w:ascii="Times New Roman" w:hAnsi="Times New Roman"/>
          <w:color w:val="000000"/>
          <w:sz w:val="22"/>
          <w:u w:val="single"/>
        </w:rPr>
        <w:t>Section 2.06(i)</w:t>
      </w:r>
      <w:r>
        <w:rPr>
          <w:rFonts w:ascii="Times New Roman" w:hAnsi="Times New Roman"/>
          <w:color w:val="000000"/>
          <w:sz w:val="22"/>
        </w:rPr>
        <w:t>.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pStyle w:val="TextBody"/>
        <w:bidi w:val="0"/>
        <w:spacing w:before="0" w:after="240"/>
        <w:jc w:val="both"/>
        <w:rPr/>
      </w:pPr>
      <w:r>
        <w:rPr>
          <w:color w:val="000000"/>
        </w:rPr>
        <w:t>“</w:t>
      </w:r>
      <w:r>
        <w:rPr>
          <w:rFonts w:ascii="Times New Roman" w:hAnsi="Times New Roman"/>
          <w:b/>
          <w:i/>
          <w:color w:val="000000"/>
          <w:sz w:val="22"/>
        </w:rPr>
        <w:t>Issuing Bank Sublimit</w:t>
      </w:r>
      <w:r>
        <w:rPr>
          <w:rFonts w:ascii="Times New Roman" w:hAnsi="Times New Roman"/>
          <w:color w:val="000000"/>
          <w:sz w:val="20"/>
        </w:rPr>
        <w:t xml:space="preserve">” </w:t>
      </w:r>
      <w:r>
        <w:rPr>
          <w:rFonts w:ascii="Times New Roman" w:hAnsi="Times New Roman"/>
          <w:color w:val="000000"/>
          <w:sz w:val="22"/>
        </w:rPr>
        <w:t xml:space="preserve">means, as of the Effective Date, (a) in the case of Wells Fargo, $5,400,000, (b) in the case of JPMorgan Chase Bank, N.A., $4,800,000 and (c) in the case of Goldman Sachs Lending Partners LLC, $4,800,000; and (d) in the case of any other Issuing Bank, such amount as shall be designated to the Administrative Agent and the Borrower in writing by an Issuing Bank; </w:t>
      </w:r>
      <w:r>
        <w:rPr>
          <w:rFonts w:ascii="Times New Roman" w:hAnsi="Times New Roman"/>
          <w:i/>
          <w:color w:val="000000"/>
          <w:sz w:val="22"/>
        </w:rPr>
        <w:t xml:space="preserve">provided </w:t>
      </w:r>
      <w:r>
        <w:rPr>
          <w:rFonts w:ascii="Times New Roman" w:hAnsi="Times New Roman"/>
          <w:color w:val="000000"/>
          <w:sz w:val="22"/>
        </w:rPr>
        <w:t>that any Issuing Bank shall be permitted at any time to increase or reduce its Issuing Bank Sublimit upon providing five (5) Business Days’ prior written notice thereof to the Administrative Agent and the Borrower so long as the aggregate Issuing Bank Sublimit does not exceed $15,000,000.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Joinder Agreement</w:t>
      </w:r>
      <w:r>
        <w:rPr>
          <w:rFonts w:ascii="Times New Roman" w:hAnsi="Times New Roman"/>
          <w:color w:val="000000"/>
          <w:sz w:val="20"/>
        </w:rPr>
        <w:t xml:space="preserve">” </w:t>
      </w:r>
      <w:r>
        <w:rPr>
          <w:rFonts w:ascii="Times New Roman" w:hAnsi="Times New Roman"/>
          <w:color w:val="000000"/>
          <w:sz w:val="22"/>
        </w:rPr>
        <w:t xml:space="preserve">means a Joinder Agreement in substantially the form of </w:t>
      </w:r>
      <w:r>
        <w:rPr>
          <w:rFonts w:ascii="Times New Roman" w:hAnsi="Times New Roman"/>
          <w:color w:val="000000"/>
          <w:sz w:val="22"/>
          <w:u w:val="single"/>
        </w:rPr>
        <w:t>Exhibit 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Junior Indebtedness</w:t>
      </w:r>
      <w:r>
        <w:rPr>
          <w:rFonts w:ascii="Times New Roman" w:hAnsi="Times New Roman"/>
          <w:color w:val="000000"/>
          <w:sz w:val="20"/>
        </w:rPr>
        <w:t xml:space="preserve">” </w:t>
      </w:r>
      <w:r>
        <w:rPr>
          <w:rFonts w:ascii="Times New Roman" w:hAnsi="Times New Roman"/>
          <w:color w:val="000000"/>
          <w:sz w:val="22"/>
        </w:rPr>
        <w:t>means (x) Subordinated Indebtedness, (y) Junior Lien Indebtedness and (z) unsecured Indebtedness, in each case, in a principal amount in excess of the Threshold Amount.</w:t>
      </w:r>
    </w:p>
    <w:p>
      <w:pPr>
        <w:pStyle w:val="TextBody"/>
        <w:bidi w:val="0"/>
        <w:spacing w:before="0" w:after="240"/>
        <w:jc w:val="both"/>
        <w:rPr/>
      </w:pPr>
      <w:r>
        <w:rPr>
          <w:color w:val="000000"/>
        </w:rPr>
        <w:t>“</w:t>
      </w:r>
      <w:r>
        <w:rPr>
          <w:rFonts w:ascii="Times New Roman" w:hAnsi="Times New Roman"/>
          <w:b/>
          <w:i/>
          <w:color w:val="000000"/>
          <w:sz w:val="22"/>
        </w:rPr>
        <w:t>Junior Lien Indebtedness</w:t>
      </w:r>
      <w:r>
        <w:rPr>
          <w:rFonts w:ascii="Times New Roman" w:hAnsi="Times New Roman"/>
          <w:color w:val="000000"/>
          <w:sz w:val="20"/>
        </w:rPr>
        <w:t xml:space="preserve">” </w:t>
      </w:r>
      <w:r>
        <w:rPr>
          <w:rFonts w:ascii="Times New Roman" w:hAnsi="Times New Roman"/>
          <w:color w:val="000000"/>
          <w:sz w:val="22"/>
        </w:rPr>
        <w:t>means any Indebtedness of the Borrower or any Subsidiary that is secured on a junior lien basis to the Liens securing the Secured Obligations.</w:t>
      </w:r>
    </w:p>
    <w:p>
      <w:pPr>
        <w:pStyle w:val="TextBody"/>
        <w:bidi w:val="0"/>
        <w:spacing w:before="0" w:after="240"/>
        <w:jc w:val="both"/>
        <w:rPr/>
      </w:pPr>
      <w:r>
        <w:rPr>
          <w:color w:val="000000"/>
        </w:rPr>
        <w:t>“</w:t>
      </w:r>
      <w:r>
        <w:rPr>
          <w:rFonts w:ascii="Times New Roman" w:hAnsi="Times New Roman"/>
          <w:b/>
          <w:i/>
          <w:color w:val="000000"/>
          <w:sz w:val="22"/>
        </w:rPr>
        <w:t>Latest Maturity Date</w:t>
      </w:r>
      <w:r>
        <w:rPr>
          <w:rFonts w:ascii="Times New Roman" w:hAnsi="Times New Roman"/>
          <w:color w:val="000000"/>
          <w:sz w:val="20"/>
        </w:rPr>
        <w:t xml:space="preserve">” </w:t>
      </w:r>
      <w:r>
        <w:rPr>
          <w:rFonts w:ascii="Times New Roman" w:hAnsi="Times New Roman"/>
          <w:color w:val="000000"/>
          <w:sz w:val="22"/>
        </w:rPr>
        <w:t>means, at any date of determination, the latest maturity date applicable to any Loan or Commitment hereunder at such time (and excluding any earlier acceleration of the Loans or termination of the Commitments), in each case as extended in accordance with this Agreement from time to time.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LC Collateral Account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2.06(j)</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LC Disbursement</w:t>
      </w:r>
      <w:r>
        <w:rPr>
          <w:rFonts w:ascii="Times New Roman" w:hAnsi="Times New Roman"/>
          <w:color w:val="000000"/>
          <w:sz w:val="20"/>
        </w:rPr>
        <w:t xml:space="preserve">” </w:t>
      </w:r>
      <w:r>
        <w:rPr>
          <w:rFonts w:ascii="Times New Roman" w:hAnsi="Times New Roman"/>
          <w:color w:val="000000"/>
          <w:sz w:val="22"/>
        </w:rPr>
        <w:t>means a payment made by an Issuing Bank pursuant to a Letter of Credit.</w:t>
      </w:r>
    </w:p>
    <w:p>
      <w:pPr>
        <w:pStyle w:val="TextBody"/>
        <w:bidi w:val="0"/>
        <w:spacing w:before="0" w:after="240"/>
        <w:jc w:val="both"/>
        <w:rPr/>
      </w:pPr>
      <w:r>
        <w:rPr>
          <w:color w:val="000000"/>
        </w:rPr>
        <w:t>“</w:t>
      </w:r>
      <w:r>
        <w:rPr>
          <w:rFonts w:ascii="Times New Roman" w:hAnsi="Times New Roman"/>
          <w:b/>
          <w:i/>
          <w:color w:val="000000"/>
          <w:sz w:val="22"/>
        </w:rPr>
        <w:t>LC Exposure</w:t>
      </w:r>
      <w:r>
        <w:rPr>
          <w:rFonts w:ascii="Times New Roman" w:hAnsi="Times New Roman"/>
          <w:color w:val="000000"/>
          <w:sz w:val="20"/>
        </w:rPr>
        <w:t xml:space="preserve">” </w:t>
      </w:r>
      <w:r>
        <w:rPr>
          <w:rFonts w:ascii="Times New Roman" w:hAnsi="Times New Roman"/>
          <w:color w:val="000000"/>
          <w:sz w:val="22"/>
        </w:rPr>
        <w:t>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aggregate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pStyle w:val="TextBody"/>
        <w:bidi w:val="0"/>
        <w:spacing w:before="0" w:after="240"/>
        <w:jc w:val="both"/>
        <w:rPr/>
      </w:pPr>
      <w:r>
        <w:rPr>
          <w:color w:val="000000"/>
        </w:rPr>
        <w:t>“</w:t>
      </w:r>
      <w:r>
        <w:rPr>
          <w:rFonts w:ascii="Times New Roman" w:hAnsi="Times New Roman"/>
          <w:b/>
          <w:i/>
          <w:color w:val="000000"/>
          <w:sz w:val="22"/>
        </w:rPr>
        <w:t>Lead Arrangers</w:t>
      </w:r>
      <w:r>
        <w:rPr>
          <w:rFonts w:ascii="Times New Roman" w:hAnsi="Times New Roman"/>
          <w:color w:val="000000"/>
          <w:sz w:val="20"/>
        </w:rPr>
        <w:t xml:space="preserve">” </w:t>
      </w:r>
      <w:r>
        <w:rPr>
          <w:rFonts w:ascii="Times New Roman" w:hAnsi="Times New Roman"/>
          <w:color w:val="000000"/>
          <w:sz w:val="22"/>
        </w:rPr>
        <w:t>means (i) each of Wells Fargo Securities, LLC, JPMorgan Chase Bank, N.A., and Goldman Sachs Lending Partners LLC, each in its capacity as joint lead arranger</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(ii) the First Amendment Lead Arrangers</w:t>
      </w:r>
      <w:r>
        <w:rPr>
          <w:rFonts w:ascii="Times New Roman" w:hAnsi="Times New Roman"/>
          <w:color w:val="0000FF"/>
          <w:sz w:val="20"/>
          <w:u w:val="single"/>
        </w:rPr>
        <w:t xml:space="preserve"> </w:t>
      </w:r>
      <w:r>
        <w:rPr>
          <w:rFonts w:ascii="Times New Roman" w:hAnsi="Times New Roman"/>
          <w:color w:val="0000FF"/>
          <w:sz w:val="22"/>
          <w:u w:val="single"/>
        </w:rPr>
        <w:t>and (iii) the Second Amendment Lead Arrangers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Lender Parent</w:t>
      </w:r>
      <w:r>
        <w:rPr>
          <w:rFonts w:ascii="Times New Roman" w:hAnsi="Times New Roman"/>
          <w:color w:val="000000"/>
          <w:sz w:val="20"/>
        </w:rPr>
        <w:t xml:space="preserve">” </w:t>
      </w:r>
      <w:r>
        <w:rPr>
          <w:rFonts w:ascii="Times New Roman" w:hAnsi="Times New Roman"/>
          <w:color w:val="000000"/>
          <w:sz w:val="22"/>
        </w:rPr>
        <w:t>means, with respect to any Lender, any Person as to which such Lender is, directly or indirectly, a subsidiary.</w:t>
      </w:r>
    </w:p>
    <w:p>
      <w:pPr>
        <w:pStyle w:val="TextBody"/>
        <w:bidi w:val="0"/>
        <w:spacing w:before="0" w:after="240"/>
        <w:jc w:val="both"/>
        <w:rPr/>
      </w:pPr>
      <w:r>
        <w:rPr>
          <w:color w:val="000000"/>
        </w:rPr>
        <w:t>“</w:t>
      </w:r>
      <w:r>
        <w:rPr>
          <w:rFonts w:ascii="Times New Roman" w:hAnsi="Times New Roman"/>
          <w:b/>
          <w:i/>
          <w:color w:val="000000"/>
          <w:sz w:val="22"/>
        </w:rPr>
        <w:t>Lender-Related Person</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Lenders</w:t>
      </w:r>
      <w:r>
        <w:rPr>
          <w:rFonts w:ascii="Times New Roman" w:hAnsi="Times New Roman"/>
          <w:color w:val="000000"/>
          <w:sz w:val="20"/>
        </w:rPr>
        <w:t xml:space="preserve">” </w:t>
      </w:r>
      <w:r>
        <w:rPr>
          <w:rFonts w:ascii="Times New Roman" w:hAnsi="Times New Roman"/>
          <w:color w:val="000000"/>
          <w:sz w:val="22"/>
        </w:rPr>
        <w:t xml:space="preserve">means the Persons listed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and any other Person that shall have become a party hereto pursuant to an Assignment and Assumption or otherwise, other than any such Person that ceases to be a party hereto pursuant to an Assignment and Assumption or otherwise. Unless the context otherwise requires, the term “Lenders” includes the Swingline Lender and the Issuing Banks. The term “Lender” means each or any one of the Lenders individually.</w:t>
      </w:r>
    </w:p>
    <w:p>
      <w:pPr>
        <w:pStyle w:val="TextBody"/>
        <w:bidi w:val="0"/>
        <w:spacing w:before="0" w:after="240"/>
        <w:jc w:val="both"/>
        <w:rPr/>
      </w:pPr>
      <w:r>
        <w:rPr>
          <w:color w:val="000000"/>
        </w:rPr>
        <w:t>“</w:t>
      </w:r>
      <w:r>
        <w:rPr>
          <w:rFonts w:ascii="Times New Roman" w:hAnsi="Times New Roman"/>
          <w:b/>
          <w:i/>
          <w:color w:val="000000"/>
          <w:sz w:val="22"/>
        </w:rPr>
        <w:t>Letter of Credit Agreement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2.06(b)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Letters of Credit</w:t>
      </w:r>
      <w:r>
        <w:rPr>
          <w:rFonts w:ascii="Times New Roman" w:hAnsi="Times New Roman"/>
          <w:color w:val="000000"/>
          <w:sz w:val="20"/>
        </w:rPr>
        <w:t xml:space="preserve">” </w:t>
      </w:r>
      <w:r>
        <w:rPr>
          <w:rFonts w:ascii="Times New Roman" w:hAnsi="Times New Roman"/>
          <w:color w:val="000000"/>
          <w:sz w:val="22"/>
        </w:rPr>
        <w:t>means the letters of credit issued pursuant to this Agreement, and the term “</w:t>
      </w:r>
      <w:r>
        <w:rPr>
          <w:rFonts w:ascii="Times New Roman" w:hAnsi="Times New Roman"/>
          <w:b/>
          <w:i/>
          <w:color w:val="000000"/>
          <w:sz w:val="22"/>
        </w:rPr>
        <w:t>Letter of Credit</w:t>
      </w:r>
      <w:r>
        <w:rPr>
          <w:rFonts w:ascii="Times New Roman" w:hAnsi="Times New Roman"/>
          <w:color w:val="000000"/>
          <w:sz w:val="20"/>
        </w:rPr>
        <w:t xml:space="preserve">” </w:t>
      </w:r>
      <w:r>
        <w:rPr>
          <w:rFonts w:ascii="Times New Roman" w:hAnsi="Times New Roman"/>
          <w:color w:val="000000"/>
          <w:sz w:val="22"/>
        </w:rPr>
        <w:t>means any one of them or each of them singularly, as the context may require. For the avoidance of doubt, each Issuing Bank shall only be required to issue standby Letters of Credit.</w:t>
      </w:r>
    </w:p>
    <w:p>
      <w:pPr>
        <w:pStyle w:val="TextBody"/>
        <w:bidi w:val="0"/>
        <w:spacing w:before="0" w:after="240"/>
        <w:jc w:val="both"/>
        <w:rPr/>
      </w:pPr>
      <w:r>
        <w:rPr>
          <w:color w:val="000000"/>
        </w:rPr>
        <w:t>“</w:t>
      </w:r>
      <w:r>
        <w:rPr>
          <w:rFonts w:ascii="Times New Roman" w:hAnsi="Times New Roman"/>
          <w:b/>
          <w:i/>
          <w:color w:val="000000"/>
          <w:sz w:val="22"/>
        </w:rPr>
        <w:t>Leverage Covenant Triggering Event</w:t>
      </w:r>
      <w:r>
        <w:rPr>
          <w:rFonts w:ascii="Times New Roman" w:hAnsi="Times New Roman"/>
          <w:color w:val="000000"/>
          <w:sz w:val="20"/>
        </w:rPr>
        <w:t xml:space="preserve">” </w:t>
      </w:r>
      <w:r>
        <w:rPr>
          <w:rFonts w:ascii="Times New Roman" w:hAnsi="Times New Roman"/>
          <w:color w:val="000000"/>
          <w:sz w:val="22"/>
        </w:rPr>
        <w:t>shall occur following Borrower submitting a written notice to the Administrative Agent of its election to be tested for a Leverage Covenant Triggering Event, which notice may be submitted at any time the Borrower and its Subsidiaries have positive Consolidated EBITDA on a pro forma basis (as of the Test Period then most recently ended).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Liabilities</w:t>
      </w:r>
      <w:r>
        <w:rPr>
          <w:rFonts w:ascii="Times New Roman" w:hAnsi="Times New Roman"/>
          <w:color w:val="000000"/>
          <w:sz w:val="20"/>
        </w:rPr>
        <w:t xml:space="preserve">” </w:t>
      </w:r>
      <w:r>
        <w:rPr>
          <w:rFonts w:ascii="Times New Roman" w:hAnsi="Times New Roman"/>
          <w:color w:val="000000"/>
          <w:sz w:val="22"/>
        </w:rPr>
        <w:t>means any losses, claims (including intraparty claims), demands, damages or liabilities of any kind.</w:t>
      </w:r>
    </w:p>
    <w:p>
      <w:pPr>
        <w:pStyle w:val="TextBody"/>
        <w:bidi w:val="0"/>
        <w:spacing w:before="0" w:after="240"/>
        <w:jc w:val="both"/>
        <w:rPr/>
      </w:pPr>
      <w:r>
        <w:rPr>
          <w:color w:val="000000"/>
        </w:rPr>
        <w:t>“</w:t>
      </w:r>
      <w:r>
        <w:rPr>
          <w:rFonts w:ascii="Times New Roman" w:hAnsi="Times New Roman"/>
          <w:b/>
          <w:i/>
          <w:color w:val="000000"/>
          <w:sz w:val="22"/>
        </w:rPr>
        <w:t>Lien</w:t>
      </w:r>
      <w:r>
        <w:rPr>
          <w:rFonts w:ascii="Times New Roman" w:hAnsi="Times New Roman"/>
          <w:color w:val="000000"/>
          <w:sz w:val="20"/>
        </w:rPr>
        <w:t xml:space="preserve">” </w:t>
      </w:r>
      <w:r>
        <w:rPr>
          <w:rFonts w:ascii="Times New Roman" w:hAnsi="Times New Roman"/>
          <w:color w:val="000000"/>
          <w:sz w:val="22"/>
        </w:rPr>
        <w:t>means, with respect to any asset, (a) any mortgage, deed of trust, lien, pledge, hypothecation, encumbrance, charge or security interest in, on or of such asset, (b) the interest of a vendor</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In no event shall an operating lease be deemed to be a Lien.</w:t>
      </w:r>
    </w:p>
    <w:p>
      <w:pPr>
        <w:pStyle w:val="TextBody"/>
        <w:bidi w:val="0"/>
        <w:spacing w:before="0" w:after="240"/>
        <w:jc w:val="both"/>
        <w:rPr/>
      </w:pPr>
      <w:r>
        <w:rPr>
          <w:color w:val="000000"/>
        </w:rPr>
        <w:t>“</w:t>
      </w:r>
      <w:r>
        <w:rPr>
          <w:rFonts w:ascii="Times New Roman" w:hAnsi="Times New Roman"/>
          <w:b/>
          <w:i/>
          <w:color w:val="000000"/>
          <w:sz w:val="22"/>
        </w:rPr>
        <w:t>Limited Condition Transaction</w:t>
      </w:r>
      <w:r>
        <w:rPr>
          <w:rFonts w:ascii="Times New Roman" w:hAnsi="Times New Roman"/>
          <w:color w:val="000000"/>
          <w:sz w:val="20"/>
        </w:rPr>
        <w:t xml:space="preserve">” </w:t>
      </w:r>
      <w:r>
        <w:rPr>
          <w:rFonts w:ascii="Times New Roman" w:hAnsi="Times New Roman"/>
          <w:color w:val="000000"/>
          <w:sz w:val="22"/>
        </w:rPr>
        <w:t>means (i) any Permitted Acquisition or other Investment (including acquisitions subject to a purchase agreement) whose consummation is not conditioned on the availability of, or on obtaining, third party financing, (ii) any redemption, repurchase, defeasance, satisfaction and discharge or repayment of Indebtedness requiring irrevocable notice in advance of such redemption, repurchase, defeasance, satisfaction and discharge or repayment, (iii) any Disposition, or (iv) any Restricted Payment, so long as in the case of clauses (i) through (iv), such Investment, repayment, Disposition, or Restricted Payment is not prohibited under this Agreement and the other Loan Documents.</w:t>
      </w:r>
    </w:p>
    <w:p>
      <w:pPr>
        <w:pStyle w:val="TextBody"/>
        <w:bidi w:val="0"/>
        <w:spacing w:before="0" w:after="240"/>
        <w:jc w:val="both"/>
        <w:rPr/>
      </w:pPr>
      <w:r>
        <w:rPr>
          <w:color w:val="000000"/>
        </w:rPr>
        <w:t>“</w:t>
      </w:r>
      <w:r>
        <w:rPr>
          <w:rFonts w:ascii="Times New Roman" w:hAnsi="Times New Roman"/>
          <w:b/>
          <w:i/>
          <w:color w:val="000000"/>
          <w:sz w:val="22"/>
        </w:rPr>
        <w:t>Liquidity</w:t>
      </w:r>
      <w:r>
        <w:rPr>
          <w:rFonts w:ascii="Times New Roman" w:hAnsi="Times New Roman"/>
          <w:color w:val="000000"/>
          <w:sz w:val="20"/>
        </w:rPr>
        <w:t xml:space="preserve">” </w:t>
      </w:r>
      <w:r>
        <w:rPr>
          <w:rFonts w:ascii="Times New Roman" w:hAnsi="Times New Roman"/>
          <w:color w:val="000000"/>
          <w:sz w:val="22"/>
        </w:rPr>
        <w:t>means, as of any date of determination, the sum of (a) the aggregate amount of Unrestricted Cash of the Loan Parties and their Subsidiaries at such time, plus (b) Availability.</w:t>
      </w:r>
    </w:p>
    <w:p>
      <w:pPr>
        <w:pStyle w:val="TextBody"/>
        <w:bidi w:val="0"/>
        <w:spacing w:before="0" w:after="240"/>
        <w:jc w:val="both"/>
        <w:rPr/>
      </w:pPr>
      <w:r>
        <w:rPr>
          <w:color w:val="0000FF"/>
          <w:u w:val="single"/>
        </w:rPr>
        <w:t>“</w:t>
      </w:r>
      <w:r>
        <w:rPr>
          <w:rFonts w:ascii="Times New Roman" w:hAnsi="Times New Roman"/>
          <w:b/>
          <w:i/>
          <w:color w:val="0000FF"/>
          <w:sz w:val="22"/>
          <w:u w:val="single"/>
        </w:rPr>
        <w:t>Liquidity Compliance Certificate</w:t>
      </w:r>
      <w:r>
        <w:rPr>
          <w:rFonts w:ascii="Times New Roman" w:hAnsi="Times New Roman"/>
          <w:color w:val="0000FF"/>
          <w:sz w:val="20"/>
          <w:u w:val="single"/>
        </w:rPr>
        <w:t xml:space="preserve">” </w:t>
      </w:r>
      <w:r>
        <w:rPr>
          <w:rFonts w:ascii="Times New Roman" w:hAnsi="Times New Roman"/>
          <w:color w:val="0000FF"/>
          <w:sz w:val="22"/>
          <w:u w:val="single"/>
        </w:rPr>
        <w:t>means a certificate of a Responsible Officer in substantially the form of Exhibit M.</w:t>
      </w:r>
    </w:p>
    <w:p>
      <w:pPr>
        <w:pStyle w:val="TextBody"/>
        <w:bidi w:val="0"/>
        <w:spacing w:before="0" w:after="240"/>
        <w:jc w:val="both"/>
        <w:rPr/>
      </w:pPr>
      <w:r>
        <w:rPr>
          <w:color w:val="000000"/>
        </w:rPr>
        <w:t>“</w:t>
      </w:r>
      <w:r>
        <w:rPr>
          <w:rFonts w:ascii="Times New Roman" w:hAnsi="Times New Roman"/>
          <w:b/>
          <w:i/>
          <w:color w:val="000000"/>
          <w:sz w:val="22"/>
        </w:rPr>
        <w:t>Loan Documents</w:t>
      </w:r>
      <w:r>
        <w:rPr>
          <w:rFonts w:ascii="Times New Roman" w:hAnsi="Times New Roman"/>
          <w:color w:val="000000"/>
          <w:sz w:val="20"/>
        </w:rPr>
        <w:t xml:space="preserve">” </w:t>
      </w:r>
      <w:r>
        <w:rPr>
          <w:rFonts w:ascii="Times New Roman" w:hAnsi="Times New Roman"/>
          <w:color w:val="000000"/>
          <w:sz w:val="22"/>
        </w:rPr>
        <w:t>means, collectively, this Agreement, each note delivered pursuant to this Agreement, each Letter of Credit application, continuing agreement or other letter of credit agreement, the Collateral Documents and any other agreements (other than, for the avoidance of doubt, any Swap Agreements, Bank Services, cash management or treasury services agreements), executed by or on behalf of any Loan Party and delivered to or in favor of the Credit Parties pursuant to the terms of this Agreement. Any reference in this Agreement or any other Loan Document to a Loan Document shall include all appendices, exhibits or schedules thereto, and all amendments, restatements, supplements or other modifications thereto, and shall refer to such Loan Document as the same may be in effect at any and all times such reference becomes operative.</w:t>
      </w:r>
    </w:p>
    <w:p>
      <w:pPr>
        <w:pStyle w:val="TextBody"/>
        <w:bidi w:val="0"/>
        <w:spacing w:before="0" w:after="240"/>
        <w:jc w:val="both"/>
        <w:rPr/>
      </w:pPr>
      <w:r>
        <w:rPr>
          <w:color w:val="000000"/>
        </w:rPr>
        <w:t>“</w:t>
      </w:r>
      <w:r>
        <w:rPr>
          <w:rFonts w:ascii="Times New Roman" w:hAnsi="Times New Roman"/>
          <w:b/>
          <w:i/>
          <w:color w:val="000000"/>
          <w:sz w:val="22"/>
        </w:rPr>
        <w:t>Loan Guaranty</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of this Agreement.</w:t>
      </w:r>
    </w:p>
    <w:p>
      <w:pPr>
        <w:pStyle w:val="TextBody"/>
        <w:bidi w:val="0"/>
        <w:spacing w:before="0" w:after="240"/>
        <w:jc w:val="both"/>
        <w:rPr/>
      </w:pPr>
      <w:r>
        <w:rPr>
          <w:color w:val="000000"/>
        </w:rPr>
        <w:t>“</w:t>
      </w:r>
      <w:r>
        <w:rPr>
          <w:rFonts w:ascii="Times New Roman" w:hAnsi="Times New Roman"/>
          <w:b/>
          <w:i/>
          <w:color w:val="000000"/>
          <w:sz w:val="22"/>
        </w:rPr>
        <w:t>Loan Parties</w:t>
      </w:r>
      <w:r>
        <w:rPr>
          <w:rFonts w:ascii="Times New Roman" w:hAnsi="Times New Roman"/>
          <w:color w:val="000000"/>
          <w:sz w:val="20"/>
        </w:rPr>
        <w:t xml:space="preserve">” </w:t>
      </w:r>
      <w:r>
        <w:rPr>
          <w:rFonts w:ascii="Times New Roman" w:hAnsi="Times New Roman"/>
          <w:color w:val="000000"/>
          <w:sz w:val="22"/>
        </w:rPr>
        <w:t>means, collectively, the Borrower and each Guarantor and their respective successors and assigns, and the term “</w:t>
      </w:r>
      <w:r>
        <w:rPr>
          <w:rFonts w:ascii="Times New Roman" w:hAnsi="Times New Roman"/>
          <w:b/>
          <w:i/>
          <w:color w:val="000000"/>
          <w:sz w:val="22"/>
        </w:rPr>
        <w:t>Loan Party</w:t>
      </w:r>
      <w:r>
        <w:rPr>
          <w:rFonts w:ascii="Times New Roman" w:hAnsi="Times New Roman"/>
          <w:color w:val="000000"/>
          <w:sz w:val="20"/>
        </w:rPr>
        <w:t xml:space="preserve">” </w:t>
      </w:r>
      <w:r>
        <w:rPr>
          <w:rFonts w:ascii="Times New Roman" w:hAnsi="Times New Roman"/>
          <w:color w:val="000000"/>
          <w:sz w:val="22"/>
        </w:rPr>
        <w:t>shall mean any one of them or all of them individually, as the context may require.</w:t>
      </w:r>
    </w:p>
    <w:p>
      <w:pPr>
        <w:pStyle w:val="TextBody"/>
        <w:bidi w:val="0"/>
        <w:spacing w:before="0" w:after="240"/>
        <w:jc w:val="both"/>
        <w:rPr/>
      </w:pPr>
      <w:r>
        <w:rPr>
          <w:color w:val="000000"/>
        </w:rPr>
        <w:t>“</w:t>
      </w:r>
      <w:r>
        <w:rPr>
          <w:rFonts w:ascii="Times New Roman" w:hAnsi="Times New Roman"/>
          <w:b/>
          <w:i/>
          <w:color w:val="000000"/>
          <w:sz w:val="22"/>
        </w:rPr>
        <w:t>Loans</w:t>
      </w:r>
      <w:r>
        <w:rPr>
          <w:rFonts w:ascii="Times New Roman" w:hAnsi="Times New Roman"/>
          <w:color w:val="000000"/>
          <w:sz w:val="20"/>
        </w:rPr>
        <w:t xml:space="preserve">” </w:t>
      </w:r>
      <w:r>
        <w:rPr>
          <w:rFonts w:ascii="Times New Roman" w:hAnsi="Times New Roman"/>
          <w:color w:val="000000"/>
          <w:sz w:val="22"/>
        </w:rPr>
        <w:t>means the loans made by the Lenders to the Borrower pursuant to this Agreement.</w:t>
      </w:r>
    </w:p>
    <w:p>
      <w:pPr>
        <w:pStyle w:val="TextBody"/>
        <w:bidi w:val="0"/>
        <w:spacing w:before="0" w:after="240"/>
        <w:jc w:val="both"/>
        <w:rPr/>
      </w:pPr>
      <w:r>
        <w:rPr>
          <w:color w:val="000000"/>
        </w:rPr>
        <w:t>“</w:t>
      </w:r>
      <w:r>
        <w:rPr>
          <w:rFonts w:ascii="Times New Roman" w:hAnsi="Times New Roman"/>
          <w:b/>
          <w:i/>
          <w:color w:val="000000"/>
          <w:sz w:val="22"/>
        </w:rPr>
        <w:t>Management Agreement</w:t>
      </w:r>
      <w:r>
        <w:rPr>
          <w:rFonts w:ascii="Times New Roman" w:hAnsi="Times New Roman"/>
          <w:color w:val="000000"/>
          <w:sz w:val="20"/>
        </w:rPr>
        <w:t xml:space="preserve">” </w:t>
      </w:r>
      <w:r>
        <w:rPr>
          <w:rFonts w:ascii="Times New Roman" w:hAnsi="Times New Roman"/>
          <w:color w:val="000000"/>
          <w:sz w:val="22"/>
        </w:rPr>
        <w:t>means that certain Amended and Restated Consulting Agreement, dated as of August 8, 2025, by and among Borrower and AE Industrial Operating Partners, LLC.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Margin Stock</w:t>
      </w:r>
      <w:r>
        <w:rPr>
          <w:rFonts w:ascii="Times New Roman" w:hAnsi="Times New Roman"/>
          <w:color w:val="000000"/>
          <w:sz w:val="20"/>
        </w:rPr>
        <w:t xml:space="preserve">” </w:t>
      </w:r>
      <w:r>
        <w:rPr>
          <w:rFonts w:ascii="Times New Roman" w:hAnsi="Times New Roman"/>
          <w:color w:val="000000"/>
          <w:sz w:val="22"/>
        </w:rPr>
        <w:t>means margin stock within the meaning of Regulations T, U and X, as applicable.</w:t>
      </w:r>
    </w:p>
    <w:p>
      <w:pPr>
        <w:pStyle w:val="TextBody"/>
        <w:bidi w:val="0"/>
        <w:spacing w:before="0" w:after="240"/>
        <w:jc w:val="both"/>
        <w:rPr/>
      </w:pPr>
      <w:r>
        <w:rPr>
          <w:color w:val="000000"/>
        </w:rPr>
        <w:t>“</w:t>
      </w:r>
      <w:r>
        <w:rPr>
          <w:rFonts w:ascii="Times New Roman" w:hAnsi="Times New Roman"/>
          <w:b/>
          <w:i/>
          <w:color w:val="000000"/>
          <w:sz w:val="22"/>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on (i) the business, assets, operations, or financial condition, of the Borrower and its Subsidiaries taken as a whole, (ii) the ability of the Loan Parties, taken as a whole, to perform their material payment obligations under the Loan Documents to which they are a party, or (iii) the rights and remedies available to the Administrative Agent, Issuing Banks or the other Credit Parties under the Loan Documents, taken as a whole.</w:t>
      </w:r>
    </w:p>
    <w:p>
      <w:pPr>
        <w:pStyle w:val="TextBody"/>
        <w:bidi w:val="0"/>
        <w:spacing w:before="0" w:after="240"/>
        <w:jc w:val="both"/>
        <w:rPr/>
      </w:pPr>
      <w:r>
        <w:rPr>
          <w:color w:val="000000"/>
        </w:rPr>
        <w:t>“</w:t>
      </w:r>
      <w:r>
        <w:rPr>
          <w:rFonts w:ascii="Times New Roman" w:hAnsi="Times New Roman"/>
          <w:b/>
          <w:i/>
          <w:color w:val="000000"/>
          <w:sz w:val="22"/>
        </w:rPr>
        <w:t>Material Domestic Subsidiary</w:t>
      </w:r>
      <w:r>
        <w:rPr>
          <w:rFonts w:ascii="Times New Roman" w:hAnsi="Times New Roman"/>
          <w:color w:val="000000"/>
          <w:sz w:val="20"/>
        </w:rPr>
        <w:t xml:space="preserve">” </w:t>
      </w:r>
      <w:r>
        <w:rPr>
          <w:rFonts w:ascii="Times New Roman" w:hAnsi="Times New Roman"/>
          <w:color w:val="000000"/>
          <w:sz w:val="22"/>
        </w:rPr>
        <w:t>means any wholly-owned Domestic Subsidiary of the Borrower which is not an Immaterial Subsidiary.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Material Indebtedness</w:t>
      </w:r>
      <w:r>
        <w:rPr>
          <w:rFonts w:ascii="Times New Roman" w:hAnsi="Times New Roman"/>
          <w:color w:val="000000"/>
          <w:sz w:val="20"/>
        </w:rPr>
        <w:t xml:space="preserve">” </w:t>
      </w:r>
      <w:r>
        <w:rPr>
          <w:rFonts w:ascii="Times New Roman" w:hAnsi="Times New Roman"/>
          <w:color w:val="000000"/>
          <w:sz w:val="22"/>
        </w:rPr>
        <w:t>means Indebtedness (other than the Loans and Letters of Credit), or obligations in respect of one or more Swap Agreements, of any one or more of the Borrower and its Subsidiaries in an aggregate outstanding principal amount exceeding the Threshold Amount.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pStyle w:val="TextBody"/>
        <w:bidi w:val="0"/>
        <w:spacing w:before="0" w:after="240"/>
        <w:jc w:val="both"/>
        <w:rPr/>
      </w:pPr>
      <w:r>
        <w:rPr>
          <w:color w:val="000000"/>
        </w:rPr>
        <w:t>“</w:t>
      </w:r>
      <w:r>
        <w:rPr>
          <w:rFonts w:ascii="Times New Roman" w:hAnsi="Times New Roman"/>
          <w:b/>
          <w:i/>
          <w:color w:val="000000"/>
          <w:sz w:val="22"/>
        </w:rPr>
        <w:t>Material Real Property</w:t>
      </w:r>
      <w:r>
        <w:rPr>
          <w:rFonts w:ascii="Times New Roman" w:hAnsi="Times New Roman"/>
          <w:color w:val="000000"/>
          <w:sz w:val="20"/>
        </w:rPr>
        <w:t xml:space="preserve">” </w:t>
      </w:r>
      <w:r>
        <w:rPr>
          <w:rFonts w:ascii="Times New Roman" w:hAnsi="Times New Roman"/>
          <w:color w:val="000000"/>
          <w:sz w:val="22"/>
        </w:rPr>
        <w:t>means any fee owned real property having a fair market value in excess of $10,000,000 as of the date of the acquisition thereof acquired after the Effective Date.</w:t>
      </w:r>
    </w:p>
    <w:p>
      <w:pPr>
        <w:pStyle w:val="TextBody"/>
        <w:bidi w:val="0"/>
        <w:spacing w:before="0" w:after="240"/>
        <w:jc w:val="both"/>
        <w:rPr/>
      </w:pPr>
      <w:r>
        <w:rPr>
          <w:color w:val="000000"/>
        </w:rPr>
        <w:t>“</w:t>
      </w:r>
      <w:r>
        <w:rPr>
          <w:rFonts w:ascii="Times New Roman" w:hAnsi="Times New Roman"/>
          <w:b/>
          <w:i/>
          <w:color w:val="000000"/>
          <w:sz w:val="22"/>
        </w:rPr>
        <w:t>Maturity Date</w:t>
      </w:r>
      <w:r>
        <w:rPr>
          <w:rFonts w:ascii="Times New Roman" w:hAnsi="Times New Roman"/>
          <w:color w:val="000000"/>
          <w:sz w:val="20"/>
        </w:rPr>
        <w:t xml:space="preserve">” </w:t>
      </w:r>
      <w:r>
        <w:rPr>
          <w:rFonts w:ascii="Times New Roman" w:hAnsi="Times New Roman"/>
          <w:color w:val="000000"/>
          <w:sz w:val="22"/>
        </w:rPr>
        <w:t xml:space="preserve">means August 8, 2028;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if such date is not a Business Day, the Maturity Date shall be the next succeeding Business Day.</w:t>
      </w:r>
    </w:p>
    <w:p>
      <w:pPr>
        <w:pStyle w:val="TextBody"/>
        <w:bidi w:val="0"/>
        <w:spacing w:before="0" w:after="240"/>
        <w:jc w:val="both"/>
        <w:rPr/>
      </w:pPr>
      <w:r>
        <w:rPr>
          <w:color w:val="000000"/>
        </w:rPr>
        <w:t>“</w:t>
      </w:r>
      <w:r>
        <w:rPr>
          <w:rFonts w:ascii="Times New Roman" w:hAnsi="Times New Roman"/>
          <w:b/>
          <w:i/>
          <w:color w:val="000000"/>
          <w:sz w:val="22"/>
        </w:rPr>
        <w:t>Maximum Liability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10.10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Maximum Rate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Moody’s</w:t>
      </w:r>
      <w:r>
        <w:rPr>
          <w:rFonts w:ascii="Times New Roman" w:hAnsi="Times New Roman"/>
          <w:color w:val="000000"/>
          <w:sz w:val="20"/>
        </w:rPr>
        <w:t xml:space="preserve">” </w:t>
      </w:r>
      <w:r>
        <w:rPr>
          <w:rFonts w:ascii="Times New Roman" w:hAnsi="Times New Roman"/>
          <w:color w:val="000000"/>
          <w:sz w:val="22"/>
        </w:rPr>
        <w:t>means Moody’s Investors Service, Inc.</w:t>
      </w:r>
    </w:p>
    <w:p>
      <w:pPr>
        <w:pStyle w:val="TextBody"/>
        <w:bidi w:val="0"/>
        <w:spacing w:before="0" w:after="240"/>
        <w:jc w:val="both"/>
        <w:rPr/>
      </w:pPr>
      <w:r>
        <w:rPr>
          <w:color w:val="000000"/>
        </w:rPr>
        <w:t>“</w:t>
      </w:r>
      <w:r>
        <w:rPr>
          <w:rFonts w:ascii="Times New Roman" w:hAnsi="Times New Roman"/>
          <w:b/>
          <w:i/>
          <w:color w:val="000000"/>
          <w:sz w:val="22"/>
        </w:rPr>
        <w:t>Mortgage</w:t>
      </w:r>
      <w:r>
        <w:rPr>
          <w:rFonts w:ascii="Times New Roman" w:hAnsi="Times New Roman"/>
          <w:color w:val="000000"/>
          <w:sz w:val="20"/>
        </w:rPr>
        <w:t xml:space="preserve">” </w:t>
      </w:r>
      <w:r>
        <w:rPr>
          <w:rFonts w:ascii="Times New Roman" w:hAnsi="Times New Roman"/>
          <w:color w:val="000000"/>
          <w:sz w:val="22"/>
        </w:rPr>
        <w:t>means a mortgage, deed of trust, hypothecation, debenture, legal charge or other similar secu-rity document granting a Lien on any Mortgaged Property in favor of the Administrative Agent for the benefit of the Secured Parties to secure the Secured Obligations, as the same may be amended, amended and restated, sup-plemented or otherwise modified from time to time. For the avoidance of doubt, no Mortgage shall be required with respect to the Bertram Property.</w:t>
      </w:r>
    </w:p>
    <w:p>
      <w:pPr>
        <w:pStyle w:val="TextBody"/>
        <w:bidi w:val="0"/>
        <w:spacing w:before="0" w:after="240"/>
        <w:jc w:val="both"/>
        <w:rPr/>
      </w:pPr>
      <w:r>
        <w:rPr>
          <w:color w:val="000000"/>
        </w:rPr>
        <w:t>“</w:t>
      </w:r>
      <w:r>
        <w:rPr>
          <w:rFonts w:ascii="Times New Roman" w:hAnsi="Times New Roman"/>
          <w:b/>
          <w:i/>
          <w:color w:val="000000"/>
          <w:sz w:val="22"/>
        </w:rPr>
        <w:t>Mortgaged Property</w:t>
      </w:r>
      <w:r>
        <w:rPr>
          <w:rFonts w:ascii="Times New Roman" w:hAnsi="Times New Roman"/>
          <w:color w:val="000000"/>
          <w:sz w:val="20"/>
        </w:rPr>
        <w:t xml:space="preserve">” </w:t>
      </w:r>
      <w:r>
        <w:rPr>
          <w:rFonts w:ascii="Times New Roman" w:hAnsi="Times New Roman"/>
          <w:color w:val="000000"/>
          <w:sz w:val="22"/>
        </w:rPr>
        <w:t>means each Material Real Property with respect to which a Mortgage is required to be granted pursuant to Section 5.11(c).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Multiemployer Plan</w:t>
      </w:r>
      <w:r>
        <w:rPr>
          <w:rFonts w:ascii="Times New Roman" w:hAnsi="Times New Roman"/>
          <w:color w:val="000000"/>
          <w:sz w:val="20"/>
        </w:rPr>
        <w:t xml:space="preserve">” </w:t>
      </w:r>
      <w:r>
        <w:rPr>
          <w:rFonts w:ascii="Times New Roman" w:hAnsi="Times New Roman"/>
          <w:color w:val="000000"/>
          <w:sz w:val="22"/>
        </w:rPr>
        <w:t>means a multiemployer plan as defined in Section 4001(a)(3) of ERISA.</w:t>
      </w:r>
    </w:p>
    <w:p>
      <w:pPr>
        <w:pStyle w:val="TextBody"/>
        <w:bidi w:val="0"/>
        <w:spacing w:before="0" w:after="240"/>
        <w:jc w:val="both"/>
        <w:rPr/>
      </w:pPr>
      <w:r>
        <w:rPr>
          <w:color w:val="000000"/>
        </w:rPr>
        <w:t>“</w:t>
      </w:r>
      <w:r>
        <w:rPr>
          <w:rFonts w:ascii="Times New Roman" w:hAnsi="Times New Roman"/>
          <w:b/>
          <w:i/>
          <w:color w:val="000000"/>
          <w:sz w:val="22"/>
        </w:rPr>
        <w:t>Net Short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Non-Consenting Lender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9.02(d)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Note</w:t>
      </w:r>
      <w:r>
        <w:rPr>
          <w:rFonts w:ascii="Times New Roman" w:hAnsi="Times New Roman"/>
          <w:color w:val="000000"/>
          <w:sz w:val="20"/>
        </w:rPr>
        <w:t xml:space="preserve">” </w:t>
      </w:r>
      <w:r>
        <w:rPr>
          <w:rFonts w:ascii="Times New Roman" w:hAnsi="Times New Roman"/>
          <w:color w:val="000000"/>
          <w:sz w:val="22"/>
        </w:rPr>
        <w:t xml:space="preserve">means a promissory note of the Borrower payable to any Lender or its registered assigns, substantially in the form of </w:t>
      </w:r>
      <w:r>
        <w:rPr>
          <w:rFonts w:ascii="Times New Roman" w:hAnsi="Times New Roman"/>
          <w:color w:val="000000"/>
          <w:sz w:val="22"/>
          <w:u w:val="single"/>
        </w:rPr>
        <w:t>Exhibit I</w:t>
      </w:r>
      <w:r>
        <w:rPr>
          <w:rFonts w:ascii="Times New Roman" w:hAnsi="Times New Roman"/>
          <w:color w:val="000000"/>
          <w:sz w:val="20"/>
        </w:rPr>
        <w:t xml:space="preserve"> </w:t>
      </w:r>
      <w:r>
        <w:rPr>
          <w:rFonts w:ascii="Times New Roman" w:hAnsi="Times New Roman"/>
          <w:color w:val="000000"/>
          <w:sz w:val="22"/>
        </w:rPr>
        <w:t>hereto, evidencing the aggregate Indebtedness of the Borrower to such Lender resulting from the Loans made by such Lender.</w:t>
      </w:r>
    </w:p>
    <w:p>
      <w:pPr>
        <w:pStyle w:val="TextBody"/>
        <w:bidi w:val="0"/>
        <w:spacing w:before="0" w:after="240"/>
        <w:jc w:val="both"/>
        <w:rPr/>
      </w:pPr>
      <w:r>
        <w:rPr>
          <w:color w:val="000000"/>
        </w:rPr>
        <w:t>“</w:t>
      </w:r>
      <w:r>
        <w:rPr>
          <w:rFonts w:ascii="Times New Roman" w:hAnsi="Times New Roman"/>
          <w:b/>
          <w:i/>
          <w:color w:val="000000"/>
          <w:sz w:val="22"/>
        </w:rPr>
        <w:t>NYFRB</w:t>
      </w:r>
      <w:r>
        <w:rPr>
          <w:rFonts w:ascii="Times New Roman" w:hAnsi="Times New Roman"/>
          <w:color w:val="000000"/>
          <w:sz w:val="20"/>
        </w:rPr>
        <w:t xml:space="preserve">” </w:t>
      </w:r>
      <w:r>
        <w:rPr>
          <w:rFonts w:ascii="Times New Roman" w:hAnsi="Times New Roman"/>
          <w:color w:val="000000"/>
          <w:sz w:val="22"/>
        </w:rPr>
        <w:t>means the Federal Reserve Bank of New York.</w:t>
      </w:r>
    </w:p>
    <w:p>
      <w:pPr>
        <w:pStyle w:val="TextBody"/>
        <w:bidi w:val="0"/>
        <w:spacing w:before="0" w:after="240"/>
        <w:jc w:val="both"/>
        <w:rPr/>
      </w:pPr>
      <w:r>
        <w:rPr>
          <w:color w:val="000000"/>
        </w:rPr>
        <w:t>“</w:t>
      </w:r>
      <w:r>
        <w:rPr>
          <w:rFonts w:ascii="Times New Roman" w:hAnsi="Times New Roman"/>
          <w:b/>
          <w:i/>
          <w:color w:val="000000"/>
          <w:sz w:val="22"/>
        </w:rPr>
        <w:t>NYFRB Rate</w:t>
      </w:r>
      <w:r>
        <w:rPr>
          <w:rFonts w:ascii="Times New Roman" w:hAnsi="Times New Roman"/>
          <w:color w:val="000000"/>
          <w:sz w:val="20"/>
        </w:rPr>
        <w:t xml:space="preserve">” </w:t>
      </w:r>
      <w:r>
        <w:rPr>
          <w:rFonts w:ascii="Times New Roman" w:hAnsi="Times New Roman"/>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i/>
          <w:color w:val="000000"/>
          <w:sz w:val="22"/>
        </w:rPr>
        <w:t xml:space="preserve">provided </w:t>
      </w:r>
      <w:r>
        <w:rPr>
          <w:rFonts w:ascii="Times New Roman" w:hAnsi="Times New Roman"/>
          <w:color w:val="000000"/>
          <w:sz w:val="22"/>
        </w:rPr>
        <w:t xml:space="preserve">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if any of the aforesaid rates as so determined would be less than zero, such rate shall be deemed to be zero for purposes of this Agreement.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NYFRB’s Website</w:t>
      </w:r>
      <w:r>
        <w:rPr>
          <w:rFonts w:ascii="Times New Roman" w:hAnsi="Times New Roman"/>
          <w:color w:val="000000"/>
          <w:sz w:val="20"/>
        </w:rPr>
        <w:t xml:space="preserve">” </w:t>
      </w:r>
      <w:r>
        <w:rPr>
          <w:rFonts w:ascii="Times New Roman" w:hAnsi="Times New Roman"/>
          <w:color w:val="000000"/>
          <w:sz w:val="22"/>
        </w:rPr>
        <w:t xml:space="preserve">means the website of the NYFRB at </w:t>
      </w:r>
      <w:r>
        <w:rPr>
          <w:rFonts w:ascii="Times New Roman" w:hAnsi="Times New Roman"/>
          <w:sz w:val="22"/>
        </w:rPr>
        <w:t>http://www.newyorkfed.org</w:t>
      </w:r>
      <w:r>
        <w:rPr>
          <w:rFonts w:ascii="Times New Roman" w:hAnsi="Times New Roman"/>
          <w:color w:val="000000"/>
          <w:sz w:val="22"/>
        </w:rPr>
        <w:t>, or any successor source.</w:t>
      </w:r>
    </w:p>
    <w:p>
      <w:pPr>
        <w:pStyle w:val="TextBody"/>
        <w:bidi w:val="0"/>
        <w:spacing w:before="0" w:after="240"/>
        <w:jc w:val="both"/>
        <w:rPr/>
      </w:pPr>
      <w:r>
        <w:rPr>
          <w:color w:val="000000"/>
        </w:rPr>
        <w:t>“</w:t>
      </w:r>
      <w:r>
        <w:rPr>
          <w:rFonts w:ascii="Times New Roman" w:hAnsi="Times New Roman"/>
          <w:b/>
          <w:i/>
          <w:color w:val="000000"/>
          <w:sz w:val="22"/>
        </w:rPr>
        <w:t>Obligated Party</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10.02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Obligations</w:t>
      </w:r>
      <w:r>
        <w:rPr>
          <w:rFonts w:ascii="Times New Roman" w:hAnsi="Times New Roman"/>
          <w:color w:val="000000"/>
          <w:sz w:val="20"/>
        </w:rPr>
        <w:t xml:space="preserve">” </w:t>
      </w:r>
      <w:r>
        <w:rPr>
          <w:rFonts w:ascii="Times New Roman" w:hAnsi="Times New Roman"/>
          <w:color w:val="000000"/>
          <w:sz w:val="22"/>
        </w:rPr>
        <w:t>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any Loan Party under any Loan Document and (b) the obligation of the Borrower to reimburse any amount in respect of any of the foregoing that the Administrative Agent or any Lender, in each case in its sole discretion, may elect to pay or advance on behalf of the Borrower in accordance with and subject to the terms herein.</w:t>
      </w:r>
    </w:p>
    <w:p>
      <w:pPr>
        <w:pStyle w:val="TextBody"/>
        <w:bidi w:val="0"/>
        <w:spacing w:before="0" w:after="240"/>
        <w:jc w:val="both"/>
        <w:rPr/>
      </w:pPr>
      <w:r>
        <w:rPr>
          <w:color w:val="000000"/>
        </w:rPr>
        <w:t>“</w:t>
      </w:r>
      <w:r>
        <w:rPr>
          <w:rFonts w:ascii="Times New Roman" w:hAnsi="Times New Roman"/>
          <w:b/>
          <w:i/>
          <w:color w:val="000000"/>
          <w:sz w:val="22"/>
        </w:rPr>
        <w:t>Original Indebtedness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6.01(f)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240"/>
        <w:jc w:val="both"/>
        <w:rPr/>
      </w:pPr>
      <w:r>
        <w:rPr>
          <w:color w:val="000000"/>
        </w:rPr>
        <w:t>“</w:t>
      </w:r>
      <w:r>
        <w:rPr>
          <w:rFonts w:ascii="Times New Roman" w:hAnsi="Times New Roman"/>
          <w:b/>
          <w:i/>
          <w:color w:val="000000"/>
          <w:sz w:val="22"/>
        </w:rPr>
        <w:t>Other Taxes</w:t>
      </w:r>
      <w:r>
        <w:rPr>
          <w:rFonts w:ascii="Times New Roman" w:hAnsi="Times New Roman"/>
          <w:color w:val="000000"/>
          <w:sz w:val="20"/>
        </w:rPr>
        <w:t xml:space="preserve">” </w:t>
      </w:r>
      <w:r>
        <w:rPr>
          <w:rFonts w:ascii="Times New Roman" w:hAnsi="Times New Roman"/>
          <w:color w:val="000000"/>
          <w:sz w:val="22"/>
        </w:rPr>
        <w:t xml:space="preserve">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olor w:val="000000"/>
          <w:sz w:val="22"/>
          <w:u w:val="single"/>
        </w:rPr>
        <w:t>Section 2.19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Overnight Bank Funding Rate</w:t>
      </w:r>
      <w:r>
        <w:rPr>
          <w:rFonts w:ascii="Times New Roman" w:hAnsi="Times New Roman"/>
          <w:color w:val="000000"/>
          <w:sz w:val="20"/>
        </w:rPr>
        <w:t xml:space="preserve">” </w:t>
      </w:r>
      <w:r>
        <w:rPr>
          <w:rFonts w:ascii="Times New Roman" w:hAnsi="Times New Roman"/>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jc w:val="both"/>
        <w:rPr/>
      </w:pPr>
      <w:r>
        <w:rPr>
          <w:color w:val="000000"/>
        </w:rPr>
        <w:t>“</w:t>
      </w:r>
      <w:r>
        <w:rPr>
          <w:rFonts w:ascii="Times New Roman" w:hAnsi="Times New Roman"/>
          <w:b/>
          <w:i/>
          <w:color w:val="000000"/>
          <w:sz w:val="22"/>
        </w:rPr>
        <w:t>Paid in Full</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Payment in Full</w:t>
      </w:r>
      <w:r>
        <w:rPr>
          <w:rFonts w:ascii="Times New Roman" w:hAnsi="Times New Roman"/>
          <w:color w:val="000000"/>
          <w:sz w:val="20"/>
        </w:rPr>
        <w:t xml:space="preserve">” </w:t>
      </w:r>
      <w:r>
        <w:rPr>
          <w:rFonts w:ascii="Times New Roman" w:hAnsi="Times New Roman"/>
          <w:color w:val="000000"/>
          <w:sz w:val="22"/>
        </w:rPr>
        <w:t>means, (a) the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at the discretion of the Administrative Agent a backup standby letter of credit satisfactory to the Administrative Agent and the Issuing Bank, or the rollover of such Letter of Credit to any succeeding debt facility), (c) the payment in full in cash of the accrued and unpaid fees then owing, due and payable, (d) the payment in full in cash of all reimbursable expenses, together with accrued and unpaid interest thereon, and (e) the termination of all Commitments.</w:t>
      </w:r>
    </w:p>
    <w:p>
      <w:pPr>
        <w:pStyle w:val="TextBody"/>
        <w:bidi w:val="0"/>
        <w:spacing w:before="0" w:after="240"/>
        <w:jc w:val="both"/>
        <w:rPr/>
      </w:pPr>
      <w:r>
        <w:rPr>
          <w:color w:val="000000"/>
        </w:rPr>
        <w:t>“</w:t>
      </w:r>
      <w:r>
        <w:rPr>
          <w:rFonts w:ascii="Times New Roman" w:hAnsi="Times New Roman"/>
          <w:b/>
          <w:i/>
          <w:color w:val="000000"/>
          <w:sz w:val="22"/>
        </w:rPr>
        <w:t>Participant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9.04(c)</w:t>
      </w:r>
      <w:r>
        <w:rPr>
          <w:rFonts w:ascii="Times New Roman" w:hAnsi="Times New Roman"/>
          <w:color w:val="000000"/>
          <w:sz w:val="22"/>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Participant Register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9.04(d)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Participation Fee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2.12(b)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Payment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8.06(c)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Payment Notice</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8.06(c)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 referred to and defined in ERISA and any successor entity performing similar functions.</w:t>
      </w:r>
    </w:p>
    <w:p>
      <w:pPr>
        <w:pStyle w:val="TextBody"/>
        <w:bidi w:val="0"/>
        <w:spacing w:before="0" w:after="240"/>
        <w:jc w:val="both"/>
        <w:rPr/>
      </w:pPr>
      <w:r>
        <w:rPr>
          <w:color w:val="000000"/>
        </w:rPr>
        <w:t>“</w:t>
      </w:r>
      <w:r>
        <w:rPr>
          <w:rFonts w:ascii="Times New Roman" w:hAnsi="Times New Roman"/>
          <w:b/>
          <w:i/>
          <w:color w:val="000000"/>
          <w:sz w:val="22"/>
        </w:rPr>
        <w:t>Permitted Acquisition</w:t>
      </w:r>
      <w:r>
        <w:rPr>
          <w:rFonts w:ascii="Times New Roman" w:hAnsi="Times New Roman"/>
          <w:color w:val="000000"/>
          <w:sz w:val="20"/>
        </w:rPr>
        <w:t xml:space="preserve">” </w:t>
      </w:r>
      <w:r>
        <w:rPr>
          <w:rFonts w:ascii="Times New Roman" w:hAnsi="Times New Roman"/>
          <w:color w:val="000000"/>
          <w:sz w:val="22"/>
        </w:rPr>
        <w:t>means any Acquisition by the Borrower or any Subsidiary, at the time of and immediately after giving effect thereto: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(aaa)</w:t>
      </w:r>
    </w:p>
    <w:p>
      <w:pPr>
        <w:pStyle w:val="TextBody"/>
        <w:bidi w:val="0"/>
        <w:spacing w:before="0" w:after="240"/>
        <w:jc w:val="both"/>
        <w:rPr/>
      </w:pPr>
      <w:r>
        <w:rPr>
          <w:rFonts w:ascii="Times New Roman" w:hAnsi="Times New Roman"/>
          <w:color w:val="000000"/>
          <w:sz w:val="22"/>
          <w:u w:val="single"/>
        </w:rPr>
        <w:t>Equity Financed Permitted Acquisitions</w:t>
      </w:r>
      <w:r>
        <w:rPr>
          <w:rFonts w:ascii="Times New Roman" w:hAnsi="Times New Roman"/>
          <w:color w:val="000000"/>
          <w:sz w:val="22"/>
        </w:rPr>
        <w:t xml:space="preserve">. Subject to a Limited Condition Transaction, if the Acquisition Consideration (including deferred payment obligations) for such Acquisition solely consists of (x) the Qualified Equity Interests of the Borrower, (y) the proceeds from an offering of Qualified Equity Interests of the Borrower received from persons other than its Subsidiaries for the purpose of financing, such Acquisition and/or (z) Indebtedness assumed by the Borrower or any Subsidiary (and permitted by </w:t>
      </w:r>
      <w:r>
        <w:rPr>
          <w:rFonts w:ascii="Times New Roman" w:hAnsi="Times New Roman"/>
          <w:color w:val="000000"/>
          <w:sz w:val="22"/>
          <w:u w:val="single"/>
        </w:rPr>
        <w:t>Section 6.01</w:t>
      </w:r>
      <w:r>
        <w:rPr>
          <w:rFonts w:ascii="Times New Roman" w:hAnsi="Times New Roman"/>
          <w:color w:val="000000"/>
          <w:sz w:val="22"/>
        </w:rPr>
        <w:t>) in connection with such Acquisition, then such Acquisition shall be a “Permitted Acquisition” if: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Event of Default shall have occurred and be continuing or would result from the consummation of such Acquisition;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 xml:space="preserve">the Borrower shall have provided the Administrative Agent with reasonable calculations signed by a Responsible Officer of the Borrower evidencing that on a </w:t>
      </w:r>
      <w:r>
        <w:rPr>
          <w:rFonts w:ascii="Times New Roman" w:hAnsi="Times New Roman"/>
          <w:i/>
          <w:color w:val="000000"/>
          <w:sz w:val="22"/>
        </w:rPr>
        <w:t xml:space="preserve">pro forma </w:t>
      </w:r>
      <w:r>
        <w:rPr>
          <w:rFonts w:ascii="Times New Roman" w:hAnsi="Times New Roman"/>
          <w:color w:val="000000"/>
          <w:sz w:val="22"/>
        </w:rPr>
        <w:t xml:space="preserve">basis the Borrower and its Subsidiaries are in compliance with the financial covenants set forth in </w:t>
        <w:br/>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for the four fiscal quarters ended immediately prior to the proposed date of consummation of such Acquisition for which financials are available. Upon request, the Borrower shall provide the Administrative Agent with copies of material final documents in respect of the Acquisition after the closing of such Acquisition.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(bbb)</w:t>
      </w:r>
    </w:p>
    <w:p>
      <w:pPr>
        <w:pStyle w:val="TextBody"/>
        <w:bidi w:val="0"/>
        <w:spacing w:before="0" w:after="240"/>
        <w:jc w:val="both"/>
        <w:rPr/>
      </w:pPr>
      <w:r>
        <w:rPr>
          <w:rFonts w:ascii="Times New Roman" w:hAnsi="Times New Roman"/>
          <w:color w:val="000000"/>
          <w:sz w:val="22"/>
          <w:u w:val="single"/>
        </w:rPr>
        <w:t>Cash Consideration Permitted Acquisitions</w:t>
      </w:r>
      <w:r>
        <w:rPr>
          <w:rFonts w:ascii="Times New Roman" w:hAnsi="Times New Roman"/>
          <w:color w:val="000000"/>
          <w:sz w:val="22"/>
        </w:rPr>
        <w:t>. If the Acquisition Consideration (including deferred payment obligations) for such Acquisition is made up in whole or in part of cash (other than cash proceeds referred to in clause (a) (y) above but including proceeds of any Indebtedness), then in either case such Acquisition shall be a “Permitted Acquisition” if: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Event of Default shall have occurred and be continuing or would result from the consummation of such Acquisition;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 xml:space="preserve">in the case of the acquisition of Equity Interests, all of the Equity Interests acquired or otherwise issued to a Loan Party by such Person or any newly formed Guarantor in connection with such acquisition shall be owned 100% by a Loan Party (other than (i) joint ventures, (ii) directors’ shares or (iii) other nominal shares required to be held by another Person pursuant to applicable law), and Borrower shall take or cause to take, if such Person becomes a Subsidiary of Borrower, each of the actions set forth in </w:t>
      </w:r>
      <w:r>
        <w:rPr>
          <w:rFonts w:ascii="Times New Roman" w:hAnsi="Times New Roman"/>
          <w:color w:val="000000"/>
          <w:sz w:val="22"/>
          <w:u w:val="single"/>
        </w:rPr>
        <w:t>Section 5.10</w:t>
      </w:r>
      <w:r>
        <w:rPr>
          <w:color w:val="000000"/>
        </w:rPr>
        <w:t xml:space="preserve"> </w:t>
      </w:r>
      <w:r>
        <w:rPr>
          <w:rFonts w:ascii="Times New Roman" w:hAnsi="Times New Roman"/>
          <w:color w:val="000000"/>
          <w:sz w:val="22"/>
        </w:rPr>
        <w:t xml:space="preserve">and/or </w:t>
      </w:r>
      <w:r>
        <w:rPr>
          <w:rFonts w:ascii="Times New Roman" w:hAnsi="Times New Roman"/>
          <w:color w:val="000000"/>
          <w:sz w:val="22"/>
          <w:u w:val="single"/>
        </w:rPr>
        <w:t>Section 5.11</w:t>
      </w:r>
      <w:r>
        <w:rPr>
          <w:rFonts w:ascii="Times New Roman" w:hAnsi="Times New Roman"/>
          <w:color w:val="000000"/>
          <w:sz w:val="22"/>
        </w:rPr>
        <w:t>, as applicable in accordance with their terms;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solely with respect to an Acquisition under this clause (b) with cash consideration in excess of $50,000,000, the Borrower shall have provided the Administrative Agent prior to the closing of the Acquisition with (A) solely to the extent available (x) most recently available two (2) years of audited financial statements of the target and (y) pro forma balance sheets and profit and loss statements of the Borrower and its Subsidiaries, prepared on a basis consistent with the target’s historical financial statements for the four fiscal quarters ended immediately prior to the proposed date of consummation of such Acquisition and (B) reasonable calculations signed by a Financial Officer of the Borrower evidencing that on a </w:t>
      </w:r>
      <w:r>
        <w:rPr>
          <w:rFonts w:ascii="Times New Roman" w:hAnsi="Times New Roman"/>
          <w:i/>
          <w:color w:val="000000"/>
          <w:sz w:val="22"/>
        </w:rPr>
        <w:t xml:space="preserve">pro forma </w:t>
      </w:r>
      <w:r>
        <w:rPr>
          <w:rFonts w:ascii="Times New Roman" w:hAnsi="Times New Roman"/>
          <w:color w:val="000000"/>
          <w:sz w:val="22"/>
        </w:rPr>
        <w:t xml:space="preserve">basis the Borrower and its Subsidiaries are in compliance with the financial covenants set forth in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for the four fiscal quarters ended immediately prior to the proposed date of consummation of such Acquisition;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[intentionally omitted];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pPr>
      <w:r>
        <w:rPr>
          <w:rFonts w:ascii="Times New Roman" w:hAnsi="Times New Roman"/>
          <w:color w:val="000000"/>
          <w:sz w:val="22"/>
        </w:rPr>
        <w:t xml:space="preserve">solely with respect to an Acquisition under this clause (b) with the cash consideration in excess of $50,000,000, the Borrower shall have provided the Administrative Agent prior to the closing of the Acquisition with, solely to the extent available, a quality of earnings report prepared by independent registered public accountants of recognized regional or national standing or any other accounting firm reasonably acceptable to the Administrative Agent; </w:t>
      </w:r>
      <w:r>
        <w:rPr>
          <w:rFonts w:ascii="Times New Roman" w:hAnsi="Times New Roman"/>
          <w:i/>
          <w:color w:val="000000"/>
          <w:sz w:val="22"/>
        </w:rPr>
        <w:t xml:space="preserve">provided </w:t>
      </w:r>
      <w:r>
        <w:rPr>
          <w:rFonts w:ascii="Times New Roman" w:hAnsi="Times New Roman"/>
          <w:color w:val="000000"/>
          <w:sz w:val="22"/>
        </w:rPr>
        <w:t>that, notwithstanding the foregoing and irrespective of the Acquisition Consideration, if a quality of earnings report is otherwise obtained by the Borrower for such Acquisition, a copy shall be provided to the Administrative Agent;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request of the Required Lenders, Borrower shall have delivered to the Administrative Agent and the Lenders prior to the closing of the Acquisition, if available, an executed term sheet and/or commitment letter (setting forth in reasonable detail the terms and conditions of such acquisitions), if any.</w:t>
      </w:r>
    </w:p>
    <w:p>
      <w:pPr>
        <w:pStyle w:val="TextBody"/>
        <w:bidi w:val="0"/>
        <w:spacing w:before="0" w:after="240"/>
        <w:jc w:val="both"/>
        <w:rPr/>
      </w:pPr>
      <w:r>
        <w:rPr>
          <w:color w:val="000000"/>
        </w:rPr>
        <w:t>“</w:t>
      </w:r>
      <w:r>
        <w:rPr>
          <w:rFonts w:ascii="Times New Roman" w:hAnsi="Times New Roman"/>
          <w:b/>
          <w:i/>
          <w:color w:val="000000"/>
          <w:sz w:val="22"/>
        </w:rPr>
        <w:t>Permitted Holder</w:t>
      </w:r>
      <w:r>
        <w:rPr>
          <w:rFonts w:ascii="Times New Roman" w:hAnsi="Times New Roman"/>
          <w:color w:val="000000"/>
          <w:sz w:val="20"/>
        </w:rPr>
        <w:t xml:space="preserve">” </w:t>
      </w:r>
      <w:r>
        <w:rPr>
          <w:rFonts w:ascii="Times New Roman" w:hAnsi="Times New Roman"/>
          <w:color w:val="000000"/>
          <w:sz w:val="22"/>
        </w:rPr>
        <w:t>means the Sponsor.</w:t>
      </w:r>
    </w:p>
    <w:p>
      <w:pPr>
        <w:pStyle w:val="TextBody"/>
        <w:bidi w:val="0"/>
        <w:spacing w:before="0" w:after="240"/>
        <w:jc w:val="both"/>
        <w:rPr/>
      </w:pPr>
      <w:r>
        <w:rPr>
          <w:color w:val="000000"/>
        </w:rPr>
        <w:t>“</w:t>
      </w:r>
      <w:r>
        <w:rPr>
          <w:rFonts w:ascii="Times New Roman" w:hAnsi="Times New Roman"/>
          <w:b/>
          <w:i/>
          <w:color w:val="000000"/>
          <w:sz w:val="22"/>
        </w:rPr>
        <w:t>Permitted Investments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(ddd)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in commercial paper maturing within two hundred seventy (270) days from the date of acquisition thereof and having, at such date of acquisition, the highest credit rating obtainable from S&amp;P or from Moody’s;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(eee)</w:t>
      </w:r>
    </w:p>
    <w:p>
      <w:pPr>
        <w:pStyle w:val="TextBody"/>
        <w:bidi w:val="0"/>
        <w:spacing w:before="0" w:after="240"/>
        <w:jc w:val="both"/>
        <w:rPr/>
      </w:pPr>
      <w:r>
        <w:rPr>
          <w:rFonts w:ascii="Times New Roman" w:hAnsi="Times New Roman"/>
          <w:color w:val="000000"/>
          <w:sz w:val="22"/>
        </w:rPr>
        <w:t xml:space="preserve">investments in certificates of deposit, bankers’ acceptances and time deposits maturing within </w:t>
      </w:r>
      <w:r>
        <w:rPr>
          <w:rFonts w:ascii="Times New Roman" w:hAnsi="Times New Roman"/>
          <w:strike/>
          <w:color w:val="FF0000"/>
          <w:sz w:val="22"/>
        </w:rPr>
        <w:t>one</w:t>
      </w:r>
      <w:r>
        <w:rPr>
          <w:rFonts w:ascii="Times New Roman" w:hAnsi="Times New Roman"/>
          <w:color w:val="0000FF"/>
          <w:sz w:val="22"/>
          <w:u w:val="single"/>
        </w:rPr>
        <w:t>three</w:t>
      </w:r>
      <w:r>
        <w:rPr>
          <w:color w:val="000000"/>
        </w:rPr>
        <w:t xml:space="preserve"> </w:t>
      </w:r>
      <w:r>
        <w:rPr>
          <w:rFonts w:ascii="Times New Roman" w:hAnsi="Times New Roman"/>
          <w:color w:val="000000"/>
          <w:sz w:val="22"/>
        </w:rPr>
        <w:t xml:space="preserve">hundred </w:t>
      </w:r>
      <w:r>
        <w:rPr>
          <w:rFonts w:ascii="Times New Roman" w:hAnsi="Times New Roman"/>
          <w:strike/>
          <w:color w:val="FF0000"/>
          <w:sz w:val="22"/>
        </w:rPr>
        <w:t>eighty</w:t>
      </w:r>
      <w:r>
        <w:rPr>
          <w:rFonts w:ascii="Times New Roman" w:hAnsi="Times New Roman"/>
          <w:color w:val="0000FF"/>
          <w:sz w:val="22"/>
          <w:u w:val="single"/>
        </w:rPr>
        <w:t>sixty five</w:t>
      </w:r>
      <w:r>
        <w:rPr>
          <w:color w:val="000000"/>
        </w:rPr>
        <w:t xml:space="preserve"> </w:t>
      </w:r>
      <w:r>
        <w:rPr>
          <w:rFonts w:ascii="Times New Roman" w:hAnsi="Times New Roman"/>
          <w:color w:val="000000"/>
          <w:sz w:val="22"/>
        </w:rPr>
        <w:t>(</w:t>
      </w:r>
      <w:r>
        <w:rPr>
          <w:rFonts w:ascii="Times New Roman" w:hAnsi="Times New Roman"/>
          <w:strike/>
          <w:color w:val="FF0000"/>
          <w:sz w:val="22"/>
        </w:rPr>
        <w:t>180</w:t>
      </w:r>
      <w:r>
        <w:rPr>
          <w:rFonts w:ascii="Times New Roman" w:hAnsi="Times New Roman"/>
          <w:color w:val="0000FF"/>
          <w:sz w:val="22"/>
          <w:u w:val="single"/>
        </w:rPr>
        <w:t>365</w:t>
      </w:r>
      <w:r>
        <w:rPr>
          <w:rFonts w:ascii="Times New Roman" w:hAnsi="Times New Roman"/>
          <w:color w:val="000000"/>
          <w:sz w:val="22"/>
        </w:rPr>
        <w:t>)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(fff)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fully collateralized repurchase agreements with a term of not more than thirty (30) days for securities described in clause (a) above and entered into with a financial institution satisfying the criteria described in clause (c) above;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(ggg)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money market funds that (i) comply with the criteria set forth in SEC Rule 2a-7 under the Investment Company Act of 1940, (ii) are rated AAA by S&amp;P and Aaa by Moody’s and (iii) have portfolio assets of at least $5,000,000,000;</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(hhh)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denominated in dollars, the national currency of any Participating Member State of the European Union (as it is constituted on the Effective Date) and, with respect to any Foreign Subsidiaries, other currencies held by such Foreign Subsidiary in the ordinary course of business;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solely with respect to any Subsidiary that is a Foreign Subsidiary, investments of comparable tenor and credit quality to those described in the foregoing clauses (a) through (f) customarily utilized in countries in which such Foreign Subsidiary operates for cash management purposes.</w:t>
      </w:r>
    </w:p>
    <w:p>
      <w:pPr>
        <w:pStyle w:val="TextBody"/>
        <w:bidi w:val="0"/>
        <w:spacing w:before="0" w:after="240"/>
        <w:jc w:val="both"/>
        <w:rPr/>
      </w:pPr>
      <w:r>
        <w:rPr>
          <w:color w:val="000000"/>
        </w:rPr>
        <w:t>“</w:t>
      </w:r>
      <w:r>
        <w:rPr>
          <w:rFonts w:ascii="Times New Roman" w:hAnsi="Times New Roman"/>
          <w:b/>
          <w:i/>
          <w:color w:val="000000"/>
          <w:sz w:val="22"/>
        </w:rPr>
        <w:t>Permitted Liens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(jjj)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created pursuant to any Loan Document, or any agreement evidencing Bank Product Obligation, or Swap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(kkk)</w:t>
      </w:r>
    </w:p>
    <w:p>
      <w:pPr>
        <w:pStyle w:val="TextBody"/>
        <w:bidi w:val="0"/>
        <w:spacing w:before="0" w:after="240"/>
        <w:jc w:val="both"/>
        <w:rPr/>
      </w:pPr>
      <w:r>
        <w:rPr>
          <w:rFonts w:ascii="Times New Roman" w:hAnsi="Times New Roman"/>
          <w:color w:val="000000"/>
          <w:sz w:val="22"/>
        </w:rPr>
        <w:t xml:space="preserve">Liens imposed by law for Taxes and claims that are not required to be paid pursuant to </w:t>
      </w:r>
      <w:r>
        <w:rPr>
          <w:rFonts w:ascii="Times New Roman" w:hAnsi="Times New Roman"/>
          <w:color w:val="000000"/>
          <w:sz w:val="22"/>
          <w:u w:val="single"/>
        </w:rPr>
        <w:t xml:space="preserve">Section 5.04 </w:t>
      </w:r>
      <w:r>
        <w:rPr>
          <w:rFonts w:ascii="Times New Roman" w:hAnsi="Times New Roman"/>
          <w:color w:val="000000"/>
          <w:sz w:val="22"/>
        </w:rPr>
        <w:t>and Liens for property Taxes on property the Borrower or any Subsidiary thereof has determined to abandon if the sole recourse for such Tax is to such property;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(lll)</w:t>
      </w:r>
    </w:p>
    <w:p>
      <w:pPr>
        <w:pStyle w:val="TextBody"/>
        <w:bidi w:val="0"/>
        <w:spacing w:before="0" w:after="240"/>
        <w:jc w:val="both"/>
        <w:rPr/>
      </w:pPr>
      <w:r>
        <w:rPr>
          <w:rFonts w:ascii="Times New Roman" w:hAnsi="Times New Roman"/>
          <w:color w:val="000000"/>
          <w:sz w:val="22"/>
        </w:rPr>
        <w:t xml:space="preserve">carriers’, warehousemen’s, mechanics’, materialmen’s, repairmen’s and other like Liens imposed by law, arising in the ordinary course of business and securing obligations that are not overdue by more than thirty (30) days or are being contested in compliance with </w:t>
      </w:r>
      <w:r>
        <w:rPr>
          <w:rFonts w:ascii="Times New Roman" w:hAnsi="Times New Roman"/>
          <w:color w:val="000000"/>
          <w:sz w:val="22"/>
          <w:u w:val="single"/>
        </w:rPr>
        <w:t>Section 5.04</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(mmm)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Liens incurred in the ordinary course of business and trading in compliance with workers’ compensation, unemployment insurance and other social security laws or regulations or employment laws or to secure other public, statutory or regulatory obligations or arising by operation of law and (ii) Liens granted in the ordinary course of business to secure liability for reimbursement or indemnification obligations of (including obligations in respect of letters of credit or bank guarantees for the benefit of) insurance carriers providing property, casualty or liability insurance to the Borrower or any of its Subsidiaries;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(nnn)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incurred to secure the performance of bids, trade contracts, leases, statutory obligations, surety and appeal bonds, performance bonds and other obligations of a like nature, in each case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(ooo)</w:t>
      </w:r>
    </w:p>
    <w:p>
      <w:pPr>
        <w:pStyle w:val="TextBody"/>
        <w:bidi w:val="0"/>
        <w:spacing w:before="0" w:after="240"/>
        <w:jc w:val="both"/>
        <w:rPr/>
      </w:pPr>
      <w:r>
        <w:rPr>
          <w:rFonts w:ascii="Times New Roman" w:hAnsi="Times New Roman"/>
          <w:color w:val="000000"/>
          <w:sz w:val="22"/>
        </w:rPr>
        <w:t xml:space="preserve">Liens (i) securing judgments for the payment of money not constituting an Event of Default under clause (k) of </w:t>
      </w:r>
      <w:r>
        <w:rPr>
          <w:rFonts w:ascii="Times New Roman" w:hAnsi="Times New Roman"/>
          <w:color w:val="000000"/>
          <w:sz w:val="22"/>
          <w:u w:val="single"/>
        </w:rPr>
        <w:t>Article VII</w:t>
      </w:r>
      <w:r>
        <w:rPr>
          <w:rFonts w:ascii="Times New Roman" w:hAnsi="Times New Roman"/>
          <w:color w:val="000000"/>
          <w:sz w:val="22"/>
        </w:rPr>
        <w:t>, (ii) arising out of judgments or awards against the Borrower or any of its Subsidiaries with respect to which an appeal or other proceeding for review is then being pursued, and (iii) constituting notices of lis pendens and associated rights related to litigation being contested in good faith by appropriate proceedings for which adequate reserves have been made;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(ppp)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or any Subsidiary;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(qqq)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interest or title of a lessor or sublessor under any lease of property;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(rrr)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leases, licenses, subleases or sublicenses (including leases, licenses, subleases, or sublicenses of Intellectual Property) granted to others in the ordinary course of business or not interfering (or in connection with a commercial transaction that is entered into in the ordinary course of business) in any material respect with the business of the Borrower or any Subsidiaries;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purported Liens evidenced by the filing of precautionary Uniform Commercial Code financing statements or similar filings (to the extent applicable);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(ttt)</w:t>
      </w:r>
    </w:p>
    <w:p>
      <w:pPr>
        <w:pStyle w:val="TextBody"/>
        <w:bidi w:val="0"/>
        <w:spacing w:before="0" w:after="240"/>
        <w:jc w:val="both"/>
        <w:rPr/>
      </w:pPr>
      <w:r>
        <w:rPr>
          <w:rFonts w:ascii="Times New Roman" w:hAnsi="Times New Roman"/>
          <w:color w:val="000000"/>
          <w:sz w:val="22"/>
        </w:rPr>
        <w:t xml:space="preserve">any Lien on any property or asset of the Borrower or any Subsidiary existing on the date hereof (i) not in excess of $2,000,000 in the aggregate or (ii) set forth in </w:t>
      </w:r>
      <w:r>
        <w:rPr>
          <w:rFonts w:ascii="Times New Roman" w:hAnsi="Times New Roman"/>
          <w:color w:val="000000"/>
          <w:sz w:val="22"/>
          <w:u w:val="single"/>
        </w:rPr>
        <w:t>Schedule 6.02</w:t>
      </w:r>
      <w:r>
        <w:rPr>
          <w:color w:val="000000"/>
        </w:rPr>
        <w:t xml:space="preserve"> </w:t>
      </w:r>
      <w:r>
        <w:rPr>
          <w:rFonts w:ascii="Times New Roman" w:hAnsi="Times New Roman"/>
          <w:color w:val="000000"/>
          <w:sz w:val="22"/>
        </w:rPr>
        <w:t xml:space="preserve">and any amendments, modifications, extensions, refinancings, renewals and replacements thereof; </w:t>
      </w:r>
      <w:r>
        <w:rPr>
          <w:rFonts w:ascii="Times New Roman" w:hAnsi="Times New Roman"/>
          <w:i/>
          <w:color w:val="000000"/>
          <w:sz w:val="22"/>
        </w:rPr>
        <w:t xml:space="preserve">provided </w:t>
      </w:r>
      <w:r>
        <w:rPr>
          <w:rFonts w:ascii="Times New Roman" w:hAnsi="Times New Roman"/>
          <w:color w:val="000000"/>
          <w:sz w:val="22"/>
        </w:rPr>
        <w:t xml:space="preserve">that (x) such Lien shall not encumber any other property or asset of the Borrower or any Subsidiary (other than the (A) proceeds, products and accessions thereof and customary security deposits, (B) after-acquired property, including such property that is affixed or incorporated into the property covered by such Lien subjected to a Lien securing Indebtedness (including a revolving credit facility), (C) assets subject to any cross-collateralization of obligations owed to the holder of such Lien, (D) other obligations incurred prior to such time and which Indebtedness (including a revolving credit facility) and (E)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(y) such Lien shall secure only those obligations which it secures on the date hereof and amendments, modifications, extensions, refinancings, renewals and replacements thereof that do not increase the outstanding principal amount thereof (other than as permitted by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(uuu)</w:t>
      </w:r>
    </w:p>
    <w:p>
      <w:pPr>
        <w:pStyle w:val="TextBody"/>
        <w:bidi w:val="0"/>
        <w:spacing w:before="0" w:after="240"/>
        <w:jc w:val="both"/>
        <w:rPr/>
      </w:pPr>
      <w:r>
        <w:rPr>
          <w:rFonts w:ascii="Times New Roman" w:hAnsi="Times New Roman"/>
          <w:color w:val="000000"/>
          <w:sz w:val="22"/>
        </w:rPr>
        <w:t xml:space="preserve">any Lien existing on any property or asset prior to the acquisition thereof by a Loan Party or any Subsidiary or existing on any property or asset of any Person that becomes a Subsidiary after the date hereof prior to the time such Person becomes a Subsidiary or at the time the assets are acquired and any amendments, modifications, extensions, refinancings, renewals and replacements thereof; </w:t>
      </w:r>
      <w:r>
        <w:rPr>
          <w:rFonts w:ascii="Times New Roman" w:hAnsi="Times New Roman"/>
          <w:i/>
          <w:color w:val="000000"/>
          <w:sz w:val="22"/>
        </w:rPr>
        <w:t xml:space="preserve">provided </w:t>
      </w:r>
      <w:r>
        <w:rPr>
          <w:rFonts w:ascii="Times New Roman" w:hAnsi="Times New Roman"/>
          <w:color w:val="000000"/>
          <w:sz w:val="22"/>
        </w:rPr>
        <w:t xml:space="preserve">that (i) such Lien is not created in contemplation of or in connection with such acquisition or such Person becoming a Subsidiary, as the case may be, (ii) such Lien shall not encumber any other property or assets of a Loan Party or any Subsidiary (other than the (A) proceeds, products and accessions thereof and customary security deposits, (B) after-acquired property, including such property that is affixed or incorporated into the property covered by such Lien subjected to a Lien securing Indebtedness (including a revolving credit facility), (C) assets subject to any cross-collateralization of obligations owed to the holder of such Lien, (D) other obligations incurred prior to such time and which Indebtedness (including a revolving credit facility) and (E)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such Lien shall secure only those obligations which it secures on the date of such acquisition or the date such Person becomes a Subsidiary, as the case may be, and amendments, modifications, extensions, refinancings, renewals and replacements thereof that do not increase the outstanding principal amount thereof (other than as permitted by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(vvv)</w:t>
      </w:r>
    </w:p>
    <w:p>
      <w:pPr>
        <w:pStyle w:val="TextBody"/>
        <w:bidi w:val="0"/>
        <w:spacing w:before="0" w:after="240"/>
        <w:jc w:val="both"/>
        <w:rPr/>
      </w:pPr>
      <w:r>
        <w:rPr>
          <w:rFonts w:ascii="Times New Roman" w:hAnsi="Times New Roman"/>
          <w:color w:val="000000"/>
          <w:sz w:val="22"/>
        </w:rPr>
        <w:t xml:space="preserve">Liens securing purchase money Indebtedness, construction financing, capital leases (including any Capital Lease Obligations), or financing leases permitted pursuant to </w:t>
      </w:r>
      <w:r>
        <w:rPr>
          <w:rFonts w:ascii="Times New Roman" w:hAnsi="Times New Roman"/>
          <w:color w:val="000000"/>
          <w:sz w:val="22"/>
          <w:u w:val="single"/>
        </w:rPr>
        <w:t>Section 6.01(e)</w:t>
      </w:r>
      <w:r>
        <w:rPr>
          <w:color w:val="000000"/>
        </w:rPr>
        <w:t xml:space="preserve"> </w:t>
      </w:r>
      <w:r>
        <w:rPr>
          <w:rFonts w:ascii="Times New Roman" w:hAnsi="Times New Roman"/>
          <w:color w:val="000000"/>
          <w:sz w:val="22"/>
        </w:rPr>
        <w:t>(including any Indebtedness originally incurred by the target acquired in connection with a Permitted Acquisition or acquisition of equipment); provided any such Lien shall encumber only, as applicable, (i) the asset subject to such purchase money Indebtedness, construction financing, capital leases (including any Capital Lease Obligations), or financing leases or the asset acquired with the proceeds, accessions, or products of such Indebtedness together with the proceeds of any disposition thereof and security deposits, (ii) deposit accounts and reserve accounts solely related to such construction financing, (iii) the assets subject to any cross-collateralization of obligations owed to the holder of such Liens with respect to any capital leases (including any Capital Lease Obligations), financing leases, construction financing or purchase money Indebtedness, and (iv) the assets being constructed pursuant to such construction financing; provided further that, with respect to any transaction that includes cross-collateralization of obligations owed to any holder of such Liens, any such cross-collateralization shall only include (I) assets that were encumbered by a capital lease, financing lease construction financing or purchase money indebtedness by such holder as of the Effective Date or (II) assets that were acquired or improved</w:t>
      </w:r>
      <w:r>
        <w:rPr>
          <w:color w:val="FF0000"/>
        </w:rPr>
        <w:t xml:space="preserve"> </w:t>
      </w:r>
      <w:r>
        <w:rPr>
          <w:rFonts w:ascii="Times New Roman" w:hAnsi="Times New Roman"/>
          <w:color w:val="000000"/>
          <w:sz w:val="22"/>
        </w:rPr>
        <w:t>pursuant to a capital lease, financing lease, construction financing or purchase money Indebtedness by such holder after the Effective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(www)</w:t>
      </w:r>
    </w:p>
    <w:p>
      <w:pPr>
        <w:pStyle w:val="TextBody"/>
        <w:bidi w:val="0"/>
        <w:spacing w:before="0" w:after="240"/>
        <w:jc w:val="both"/>
        <w:rPr/>
      </w:pPr>
      <w:r>
        <w:rPr>
          <w:rFonts w:ascii="Times New Roman" w:hAnsi="Times New Roman"/>
          <w:color w:val="000000"/>
          <w:sz w:val="22"/>
        </w:rPr>
        <w:t xml:space="preserve">Liens on assets constituting Collateral that secure Indebtedness permitted under </w:t>
      </w:r>
      <w:r>
        <w:rPr>
          <w:rFonts w:ascii="Times New Roman" w:hAnsi="Times New Roman"/>
          <w:color w:val="000000"/>
          <w:sz w:val="22"/>
          <w:u w:val="single"/>
        </w:rPr>
        <w:t>Section 6.01(g)</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(xxx)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granted by a Subsidiary that is not a Loan Party in favor of the Borrower or another Loan Party or any other Subsidiary in respect of Indebtedness or other obligations owed by such Subsidiary to the Borrower or such other Loan Party;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(yyy)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arising out of any conditional sale, title retention, consignment or other similar arrangements for the sale of goods entered into by a Loan Party or any of its Subsidiaries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(zzz)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pursuant to insurance premium financing arrangements securing insurance proceeds solely to the extent of such premiums;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(aaaa)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bankers’ Liens, rights of setoff and other similar Liens existing solely with respect to cash and Permitted Investments on deposit in one or more accounts maintained by Borrower or a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(bbbb)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 favor of customs and revenue authorities arising as a matter of law to secure payment of customs duties in connection with the importation of goods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(cccc)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any cash earnest money deposits made by a Loan Party or any of its Subsidiaries in connection with a Permitted Acquisition or other permitted Investments, including, without limitation, in connection with any letter of intent or purchase agreement relating thereto;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(dddd)</w:t>
      </w:r>
    </w:p>
    <w:p>
      <w:pPr>
        <w:pStyle w:val="TextBody"/>
        <w:bidi w:val="0"/>
        <w:spacing w:before="0" w:after="240"/>
        <w:jc w:val="both"/>
        <w:rPr/>
      </w:pPr>
      <w:r>
        <w:rPr>
          <w:rFonts w:ascii="Times New Roman" w:hAnsi="Times New Roman"/>
          <w:color w:val="000000"/>
          <w:sz w:val="22"/>
        </w:rPr>
        <w:t xml:space="preserve">in connection with the sale or transfer of any assets in a transaction permitted under </w:t>
      </w:r>
      <w:r>
        <w:rPr>
          <w:rFonts w:ascii="Times New Roman" w:hAnsi="Times New Roman"/>
          <w:color w:val="000000"/>
          <w:sz w:val="22"/>
          <w:u w:val="single"/>
        </w:rPr>
        <w:t>Section 6.03</w:t>
      </w:r>
      <w:r>
        <w:rPr>
          <w:rFonts w:ascii="Times New Roman" w:hAnsi="Times New Roman"/>
          <w:color w:val="000000"/>
          <w:sz w:val="22"/>
        </w:rPr>
        <w:t>, customary rights and restrictions contained in agreements relating to such sale or transfer pending the completion thereof;</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(eeee)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 the nature of the right of setoff in favor of counterparties to contractual agreements and purchase orders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(ffff)</w:t>
      </w:r>
    </w:p>
    <w:p>
      <w:pPr>
        <w:pStyle w:val="TextBody"/>
        <w:bidi w:val="0"/>
        <w:spacing w:before="0" w:after="240"/>
        <w:jc w:val="both"/>
        <w:rPr/>
      </w:pPr>
      <w:r>
        <w:rPr>
          <w:rFonts w:ascii="Times New Roman" w:hAnsi="Times New Roman"/>
          <w:color w:val="000000"/>
          <w:sz w:val="22"/>
        </w:rPr>
        <w:t xml:space="preserve">Dispositions and other sales of assets permitted under </w:t>
      </w:r>
      <w:r>
        <w:rPr>
          <w:rFonts w:ascii="Times New Roman" w:hAnsi="Times New Roman"/>
          <w:color w:val="000000"/>
          <w:sz w:val="22"/>
          <w:u w:val="single"/>
        </w:rPr>
        <w:t>Section 6.03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(gggg)</w:t>
      </w:r>
    </w:p>
    <w:p>
      <w:pPr>
        <w:pStyle w:val="TextBody"/>
        <w:bidi w:val="0"/>
        <w:spacing w:before="0" w:after="240"/>
        <w:jc w:val="both"/>
        <w:rPr/>
      </w:pPr>
      <w:r>
        <w:rPr>
          <w:rFonts w:ascii="Times New Roman" w:hAnsi="Times New Roman"/>
          <w:color w:val="000000"/>
          <w:sz w:val="22"/>
        </w:rPr>
        <w:t xml:space="preserve">Liens on the Collateral securing Indebtedness permitted under </w:t>
      </w:r>
      <w:r>
        <w:rPr>
          <w:rFonts w:ascii="Times New Roman" w:hAnsi="Times New Roman"/>
          <w:color w:val="000000"/>
          <w:sz w:val="22"/>
          <w:u w:val="single"/>
        </w:rPr>
        <w:t>Section 6.01(n)(y)</w:t>
      </w:r>
      <w:r>
        <w:rPr>
          <w:rFonts w:ascii="Times New Roman" w:hAnsi="Times New Roman"/>
          <w:color w:val="000000"/>
          <w:sz w:val="22"/>
        </w:rPr>
        <w:t xml:space="preserve">, so long as such Liens shall be subordinated to the Liens granted under the Loan Documents pursuant to an Acceptable Subordination or Intercreditor Arrangement;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(hhhh)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not otherwise permitted by this definition so long the aggregate outstanding principal amount of the obligations secured thereby exceeds (as to the Borrower and its Subsidiaries) $20,000,000, at any one time outstanding;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(iiii)</w:t>
      </w:r>
    </w:p>
    <w:p>
      <w:pPr>
        <w:pStyle w:val="TextBody"/>
        <w:bidi w:val="0"/>
        <w:spacing w:before="0" w:after="240"/>
        <w:jc w:val="both"/>
        <w:rPr/>
      </w:pPr>
      <w:r>
        <w:rPr>
          <w:rFonts w:ascii="Times New Roman" w:hAnsi="Times New Roman"/>
          <w:color w:val="000000"/>
          <w:sz w:val="22"/>
        </w:rPr>
        <w:t xml:space="preserve">Liens arising pursuant to a sale and leaseback transaction permitted by </w:t>
      </w:r>
      <w:r>
        <w:rPr>
          <w:rFonts w:ascii="Times New Roman" w:hAnsi="Times New Roman"/>
          <w:color w:val="000000"/>
          <w:sz w:val="22"/>
          <w:u w:val="single"/>
        </w:rPr>
        <w:t>Section 6.01(v)</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(jjjj)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 of a collection bank arising under Section 4-208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(kkkk)</w:t>
      </w:r>
    </w:p>
    <w:p>
      <w:pPr>
        <w:pStyle w:val="TextBody"/>
        <w:bidi w:val="0"/>
        <w:spacing w:before="0" w:after="240"/>
        <w:jc w:val="both"/>
        <w:rPr/>
      </w:pPr>
      <w:r>
        <w:rPr>
          <w:rFonts w:ascii="Times New Roman" w:hAnsi="Times New Roman"/>
          <w:color w:val="000000"/>
          <w:sz w:val="22"/>
        </w:rPr>
        <w:t xml:space="preserve">the modification, replacement, renewal or extension of any Lien permitted by clauses (k), (l), (m), and (y) of the definition of “Permitted Liens”; provided that (i) except or otherwise permitted by another clause of the definition of “Permitted Liens” (which shall constitute an incurrence thereunder), the Lien does not extend to any additional property, other than (A) after-acquired property, including such property that is affixed or incorporated into the property covered by such Lien, (B) proceeds and products thereof and customary security deposits and (C) assets subject to any cross-collateralization of obligations owed to the holder of such Lien, and (ii) the renewal, extension, restructuring or refinancing of the obligations secured or benefited by such Liens is permitted by </w:t>
      </w:r>
      <w:r>
        <w:rPr>
          <w:rFonts w:ascii="Times New Roman" w:hAnsi="Times New Roman"/>
          <w:color w:val="000000"/>
          <w:sz w:val="22"/>
          <w:u w:val="single"/>
        </w:rPr>
        <w:t>Section 6.01</w:t>
      </w:r>
      <w:r>
        <w:rPr>
          <w:color w:val="000000"/>
        </w:rPr>
        <w:t xml:space="preserve"> </w:t>
      </w:r>
      <w:r>
        <w:rPr>
          <w:rFonts w:ascii="Times New Roman" w:hAnsi="Times New Roman"/>
          <w:color w:val="000000"/>
          <w:sz w:val="22"/>
        </w:rPr>
        <w:t>(to the extent constituting Indebtedness);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(llll)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deposits of cash with the owner or lessor of premises leased and operated by the Borrower or any of its Subsidiaries to secure the performance of the Borrower’s or such Subsidiary’s obligations under the terms of the lease for such premises;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(mmmm)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Equity Interests in joint ventures; provided, that any such Lien is in favor of a creditor of such joint venture and such creditor is not an Affiliate of any partner to such joint venture and (b) purchase options, call, rights of refusal, rights of first offer, rights of tag and drag and similar rights of, and restrictions for the benefit of, a third party with respect to Equity Interests held by the Borrower or any Subsidiary in joint ventures;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(nnnn)</w:t>
      </w:r>
    </w:p>
    <w:p>
      <w:pPr>
        <w:pStyle w:val="TextBody"/>
        <w:bidi w:val="0"/>
        <w:spacing w:before="0" w:after="240"/>
        <w:jc w:val="both"/>
        <w:rPr/>
      </w:pPr>
      <w:r>
        <w:rPr>
          <w:rFonts w:ascii="Times New Roman" w:hAnsi="Times New Roman"/>
          <w:color w:val="000000"/>
          <w:sz w:val="22"/>
        </w:rPr>
        <w:t xml:space="preserve">Liens on property of any Subsidiary that is not a Loan Party, which Liens secure Indebtedness permitted under </w:t>
      </w:r>
      <w:r>
        <w:rPr>
          <w:rFonts w:ascii="Times New Roman" w:hAnsi="Times New Roman"/>
          <w:color w:val="000000"/>
          <w:sz w:val="22"/>
          <w:u w:val="single"/>
        </w:rPr>
        <w:t>Section 6.01</w:t>
      </w:r>
      <w:r>
        <w:rPr>
          <w:color w:val="000000"/>
        </w:rPr>
        <w:t xml:space="preserve"> </w:t>
      </w:r>
      <w:r>
        <w:rPr>
          <w:rFonts w:ascii="Times New Roman" w:hAnsi="Times New Roman"/>
          <w:color w:val="000000"/>
          <w:sz w:val="22"/>
        </w:rPr>
        <w:t>(or obligations other than Indebtedness) to be incurred by Subsidiaries that are not Loan Parties and provided such Indebtedness (or other obligations) is not incurred by and is not recourse to any Loan Party (other than in respect of any pledge of Equity Interests of such Subsidiary that is not a Loan Party).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b/>
          <w:i/>
          <w:color w:val="000000"/>
          <w:sz w:val="22"/>
        </w:rPr>
        <w:t>Plan</w:t>
      </w:r>
      <w:r>
        <w:rPr>
          <w:rFonts w:ascii="Times New Roman" w:hAnsi="Times New Roman"/>
          <w:color w:val="000000"/>
          <w:sz w:val="20"/>
        </w:rPr>
        <w:t xml:space="preserve">” </w:t>
      </w:r>
      <w:r>
        <w:rPr>
          <w:rFonts w:ascii="Times New Roman" w:hAnsi="Times New Roman"/>
          <w:color w:val="000000"/>
          <w:sz w:val="22"/>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240"/>
        <w:jc w:val="both"/>
        <w:rPr/>
      </w:pPr>
      <w:r>
        <w:rPr>
          <w:color w:val="000000"/>
        </w:rPr>
        <w:t>“</w:t>
      </w:r>
      <w:r>
        <w:rPr>
          <w:rFonts w:ascii="Times New Roman" w:hAnsi="Times New Roman"/>
          <w:b/>
          <w:i/>
          <w:color w:val="000000"/>
          <w:sz w:val="22"/>
        </w:rPr>
        <w:t>Plan Asset Regulations</w:t>
      </w:r>
      <w:r>
        <w:rPr>
          <w:rFonts w:ascii="Times New Roman" w:hAnsi="Times New Roman"/>
          <w:color w:val="000000"/>
          <w:sz w:val="20"/>
        </w:rPr>
        <w:t xml:space="preserve">” </w:t>
      </w:r>
      <w:r>
        <w:rPr>
          <w:rFonts w:ascii="Times New Roman" w:hAnsi="Times New Roman"/>
          <w:color w:val="000000"/>
          <w:sz w:val="22"/>
        </w:rPr>
        <w:t xml:space="preserve">means 29 CFR § 2510.3-101 </w:t>
      </w:r>
      <w:r>
        <w:rPr>
          <w:rFonts w:ascii="Times New Roman" w:hAnsi="Times New Roman"/>
          <w:i/>
          <w:color w:val="000000"/>
          <w:sz w:val="22"/>
        </w:rPr>
        <w:t>et seq.</w:t>
      </w:r>
      <w:r>
        <w:rPr>
          <w:rFonts w:ascii="Times New Roman" w:hAnsi="Times New Roman"/>
          <w:color w:val="000000"/>
          <w:sz w:val="22"/>
        </w:rPr>
        <w:t>, as modified by Section 3(42) of ERISA, as amended from time to time.</w:t>
      </w:r>
    </w:p>
    <w:p>
      <w:pPr>
        <w:pStyle w:val="TextBody"/>
        <w:bidi w:val="0"/>
        <w:spacing w:before="0" w:after="240"/>
        <w:jc w:val="both"/>
        <w:rPr/>
      </w:pPr>
      <w:r>
        <w:rPr>
          <w:color w:val="000000"/>
        </w:rPr>
        <w:t>“</w:t>
      </w:r>
      <w:r>
        <w:rPr>
          <w:rFonts w:ascii="Times New Roman" w:hAnsi="Times New Roman"/>
          <w:b/>
          <w:i/>
          <w:color w:val="000000"/>
          <w:sz w:val="22"/>
        </w:rPr>
        <w:t>Prime Rate</w:t>
      </w:r>
      <w:r>
        <w:rPr>
          <w:rFonts w:ascii="Times New Roman" w:hAnsi="Times New Roman"/>
          <w:color w:val="000000"/>
          <w:sz w:val="20"/>
        </w:rPr>
        <w:t xml:space="preserve">” </w:t>
      </w:r>
      <w:r>
        <w:rPr>
          <w:rFonts w:ascii="Times New Roman" w:hAnsi="Times New Roman"/>
          <w:color w:val="000000"/>
          <w:sz w:val="22"/>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before="0" w:after="240"/>
        <w:jc w:val="both"/>
        <w:rPr/>
      </w:pPr>
      <w:r>
        <w:rPr>
          <w:color w:val="000000"/>
        </w:rPr>
        <w:t>“</w:t>
      </w:r>
      <w:r>
        <w:rPr>
          <w:rFonts w:ascii="Times New Roman" w:hAnsi="Times New Roman"/>
          <w:b/>
          <w:i/>
          <w:color w:val="000000"/>
          <w:sz w:val="22"/>
        </w:rPr>
        <w:t>Pro Forma Basis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pro forma basis</w:t>
      </w:r>
      <w:r>
        <w:rPr>
          <w:rFonts w:ascii="Times New Roman" w:hAnsi="Times New Roman"/>
          <w:color w:val="000000"/>
          <w:sz w:val="20"/>
        </w:rPr>
        <w:t xml:space="preserve">” </w:t>
      </w:r>
      <w:r>
        <w:rPr>
          <w:rFonts w:ascii="Times New Roman" w:hAnsi="Times New Roman"/>
          <w:color w:val="000000"/>
          <w:sz w:val="22"/>
        </w:rPr>
        <w:t xml:space="preserve">means, with respect to compliance with any test or covenant or calculation of any ratio hereunder, the determination or calculation of such test, covenant or ratio (including in connection with Specified Transactions) in accordance with </w:t>
      </w:r>
      <w:r>
        <w:rPr>
          <w:rFonts w:ascii="Times New Roman" w:hAnsi="Times New Roman"/>
          <w:color w:val="000000"/>
          <w:sz w:val="22"/>
          <w:u w:val="single"/>
        </w:rPr>
        <w:t>Section 1.14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Proceeding</w:t>
      </w:r>
      <w:r>
        <w:rPr>
          <w:rFonts w:ascii="Times New Roman" w:hAnsi="Times New Roman"/>
          <w:color w:val="000000"/>
          <w:sz w:val="20"/>
        </w:rPr>
        <w:t xml:space="preserve">” </w:t>
      </w:r>
      <w:r>
        <w:rPr>
          <w:rFonts w:ascii="Times New Roman" w:hAnsi="Times New Roman"/>
          <w:color w:val="000000"/>
          <w:sz w:val="22"/>
        </w:rPr>
        <w:t>means any claim, litigation, investigation, action, suit, arbitration or administrative, judicial or regulatory action or proceeding in any jurisdiction.</w:t>
      </w:r>
    </w:p>
    <w:p>
      <w:pPr>
        <w:pStyle w:val="TextBody"/>
        <w:bidi w:val="0"/>
        <w:spacing w:before="0" w:after="240"/>
        <w:jc w:val="both"/>
        <w:rPr/>
      </w:pPr>
      <w:r>
        <w:rPr>
          <w:color w:val="000000"/>
        </w:rPr>
        <w:t>“</w:t>
      </w:r>
      <w:r>
        <w:rPr>
          <w:rFonts w:ascii="Times New Roman" w:hAnsi="Times New Roman"/>
          <w:b/>
          <w:i/>
          <w:color w:val="000000"/>
          <w:sz w:val="22"/>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b/>
          <w:i/>
          <w:color w:val="000000"/>
          <w:sz w:val="22"/>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0" w:after="240"/>
        <w:jc w:val="both"/>
        <w:rPr/>
      </w:pPr>
      <w:r>
        <w:rPr>
          <w:color w:val="000000"/>
        </w:rPr>
        <w:t>“</w:t>
      </w:r>
      <w:r>
        <w:rPr>
          <w:rFonts w:ascii="Times New Roman" w:hAnsi="Times New Roman"/>
          <w:b/>
          <w:i/>
          <w:color w:val="000000"/>
          <w:sz w:val="22"/>
        </w:rPr>
        <w:t>QFC Credit Support</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9.21(a)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Qualified ECP Guarantor</w:t>
      </w:r>
      <w:r>
        <w:rPr>
          <w:rFonts w:ascii="Times New Roman" w:hAnsi="Times New Roman"/>
          <w:color w:val="000000"/>
          <w:sz w:val="20"/>
        </w:rPr>
        <w:t xml:space="preserve">” </w:t>
      </w:r>
      <w:r>
        <w:rPr>
          <w:rFonts w:ascii="Times New Roman" w:hAnsi="Times New Roman"/>
          <w:color w:val="000000"/>
          <w:sz w:val="22"/>
        </w:rPr>
        <w:t>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240"/>
        <w:jc w:val="both"/>
        <w:rPr/>
      </w:pPr>
      <w:r>
        <w:rPr>
          <w:color w:val="000000"/>
        </w:rPr>
        <w:t>“</w:t>
      </w:r>
      <w:r>
        <w:rPr>
          <w:rFonts w:ascii="Times New Roman" w:hAnsi="Times New Roman"/>
          <w:b/>
          <w:i/>
          <w:color w:val="000000"/>
          <w:sz w:val="22"/>
        </w:rPr>
        <w:t>Qualified Equity Interests</w:t>
      </w:r>
      <w:r>
        <w:rPr>
          <w:rFonts w:ascii="Times New Roman" w:hAnsi="Times New Roman"/>
          <w:color w:val="000000"/>
          <w:sz w:val="20"/>
        </w:rPr>
        <w:t xml:space="preserve">” </w:t>
      </w:r>
      <w:r>
        <w:rPr>
          <w:rFonts w:ascii="Times New Roman" w:hAnsi="Times New Roman"/>
          <w:color w:val="000000"/>
          <w:sz w:val="22"/>
        </w:rPr>
        <w:t>means any Equity Interests other than Disqualified Equity Interests.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Qualified Proceeds</w:t>
      </w:r>
      <w:r>
        <w:rPr>
          <w:rFonts w:ascii="Times New Roman" w:hAnsi="Times New Roman"/>
          <w:color w:val="000000"/>
          <w:sz w:val="20"/>
        </w:rPr>
        <w:t xml:space="preserve">” </w:t>
      </w:r>
      <w:r>
        <w:rPr>
          <w:rFonts w:ascii="Times New Roman" w:hAnsi="Times New Roman"/>
          <w:color w:val="000000"/>
          <w:sz w:val="22"/>
        </w:rPr>
        <w:t>shall mean assets that are used or useful in, or Equity Interests of any Person engaged in, any business conducted or proposed to be conducted by the Borrower and its Subsidiaries that are not Loan Parties, taken as a whole, on the Effective Date or any other business activities which are reasonable extensions thereof or otherwise similar, incidental, corollary, complementary, synergistic, reasonably related, or ancillary to any of the foregoing (including non-core incidental businesses acquired in connection with any Permitted Acquisition or permitted Investment), in each case as determined by the Borrower in good faith.</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Recipient</w:t>
      </w:r>
      <w:r>
        <w:rPr>
          <w:rFonts w:ascii="Times New Roman" w:hAnsi="Times New Roman"/>
          <w:color w:val="000000"/>
          <w:sz w:val="20"/>
        </w:rPr>
        <w:t xml:space="preserve">” </w:t>
      </w:r>
      <w:r>
        <w:rPr>
          <w:rFonts w:ascii="Times New Roman" w:hAnsi="Times New Roman"/>
          <w:color w:val="000000"/>
          <w:sz w:val="22"/>
        </w:rPr>
        <w:t>means (a) the Administrative Agent, (b) any Lender and (c) any Issuing Bank, as applicable.</w:t>
      </w:r>
    </w:p>
    <w:p>
      <w:pPr>
        <w:pStyle w:val="TextBody"/>
        <w:bidi w:val="0"/>
        <w:spacing w:before="0" w:after="240"/>
        <w:jc w:val="both"/>
        <w:rPr/>
      </w:pPr>
      <w:r>
        <w:rPr>
          <w:color w:val="000000"/>
        </w:rPr>
        <w:t>“</w:t>
      </w:r>
      <w:r>
        <w:rPr>
          <w:rFonts w:ascii="Times New Roman" w:hAnsi="Times New Roman"/>
          <w:b/>
          <w:i/>
          <w:color w:val="000000"/>
          <w:sz w:val="22"/>
        </w:rPr>
        <w:t>Reference Time</w:t>
      </w:r>
      <w:r>
        <w:rPr>
          <w:rFonts w:ascii="Times New Roman" w:hAnsi="Times New Roman"/>
          <w:color w:val="000000"/>
          <w:sz w:val="20"/>
        </w:rPr>
        <w:t xml:space="preserve">” </w:t>
      </w:r>
      <w:r>
        <w:rPr>
          <w:rFonts w:ascii="Times New Roman" w:hAnsi="Times New Roman"/>
          <w:color w:val="000000"/>
          <w:sz w:val="22"/>
        </w:rPr>
        <w:t>with respect to any setting of the then-current Benchmark means (1) if such Benchmark is the Term SOFR Rate, 5:00 a.m. (Chicago time) on the day that is two U.S. Government Securities Business Days preceding the date of such setting, (2) following a Benchmark Transition Event and a Benchmark Replacement Date with respect to the Term SOFR Rate, such Benchmark is Daily Simple SOFR, then four U.S. Government Securities Business Days prior to such setting or (3) if such Benchmark is none of the Term SOFR Rate or Daily Simple SOFR, the time determined by the Administrative Agent in its reasonable discretion.</w:t>
      </w:r>
    </w:p>
    <w:p>
      <w:pPr>
        <w:pStyle w:val="TextBody"/>
        <w:bidi w:val="0"/>
        <w:spacing w:before="0" w:after="240"/>
        <w:jc w:val="both"/>
        <w:rPr/>
      </w:pPr>
      <w:r>
        <w:rPr>
          <w:color w:val="000000"/>
        </w:rPr>
        <w:t>“</w:t>
      </w:r>
      <w:r>
        <w:rPr>
          <w:rFonts w:ascii="Times New Roman" w:hAnsi="Times New Roman"/>
          <w:b/>
          <w:i/>
          <w:color w:val="000000"/>
          <w:sz w:val="22"/>
        </w:rPr>
        <w:t>Refinance Indebtedness</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6.01(t)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Register</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9.04(b)(v)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Regulation D</w:t>
      </w:r>
      <w:r>
        <w:rPr>
          <w:rFonts w:ascii="Times New Roman" w:hAnsi="Times New Roman"/>
          <w:color w:val="000000"/>
          <w:sz w:val="20"/>
        </w:rPr>
        <w:t xml:space="preserve">” </w:t>
      </w:r>
      <w:r>
        <w:rPr>
          <w:rFonts w:ascii="Times New Roman" w:hAnsi="Times New Roman"/>
          <w:color w:val="000000"/>
          <w:sz w:val="22"/>
        </w:rPr>
        <w:t>means Regulation D of the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Regulation T</w:t>
      </w:r>
      <w:r>
        <w:rPr>
          <w:rFonts w:ascii="Times New Roman" w:hAnsi="Times New Roman"/>
          <w:color w:val="000000"/>
          <w:sz w:val="20"/>
        </w:rPr>
        <w:t xml:space="preserve">” </w:t>
      </w:r>
      <w:r>
        <w:rPr>
          <w:rFonts w:ascii="Times New Roman" w:hAnsi="Times New Roman"/>
          <w:color w:val="000000"/>
          <w:sz w:val="22"/>
        </w:rPr>
        <w:t>means Regulation T of the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Regulation U</w:t>
      </w:r>
      <w:r>
        <w:rPr>
          <w:rFonts w:ascii="Times New Roman" w:hAnsi="Times New Roman"/>
          <w:color w:val="000000"/>
          <w:sz w:val="20"/>
        </w:rPr>
        <w:t xml:space="preserve">” </w:t>
      </w:r>
      <w:r>
        <w:rPr>
          <w:rFonts w:ascii="Times New Roman" w:hAnsi="Times New Roman"/>
          <w:color w:val="000000"/>
          <w:sz w:val="22"/>
        </w:rPr>
        <w:t>means Regulation U of the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Regulation X</w:t>
      </w:r>
      <w:r>
        <w:rPr>
          <w:rFonts w:ascii="Times New Roman" w:hAnsi="Times New Roman"/>
          <w:color w:val="000000"/>
          <w:sz w:val="20"/>
        </w:rPr>
        <w:t xml:space="preserve">” </w:t>
      </w:r>
      <w:r>
        <w:rPr>
          <w:rFonts w:ascii="Times New Roman" w:hAnsi="Times New Roman"/>
          <w:color w:val="000000"/>
          <w:sz w:val="22"/>
        </w:rPr>
        <w:t>means Regulation X of the Board, as in effect from time to time and all official rulings and interpretations thereunder or thereof.</w:t>
      </w:r>
    </w:p>
    <w:p>
      <w:pPr>
        <w:pStyle w:val="TextBody"/>
        <w:bidi w:val="0"/>
        <w:spacing w:before="0" w:after="240"/>
        <w:jc w:val="both"/>
        <w:rPr/>
      </w:pPr>
      <w:r>
        <w:rPr>
          <w:color w:val="000000"/>
        </w:rPr>
        <w:t>“</w:t>
      </w:r>
      <w:r>
        <w:rPr>
          <w:rFonts w:ascii="Times New Roman" w:hAnsi="Times New Roman"/>
          <w:b/>
          <w:i/>
          <w:color w:val="000000"/>
          <w:sz w:val="22"/>
        </w:rPr>
        <w:t>Regulated Bank</w:t>
      </w:r>
      <w:r>
        <w:rPr>
          <w:rFonts w:ascii="Times New Roman" w:hAnsi="Times New Roman"/>
          <w:color w:val="000000"/>
          <w:sz w:val="20"/>
        </w:rPr>
        <w:t xml:space="preserve">” </w:t>
      </w:r>
      <w:r>
        <w:rPr>
          <w:rFonts w:ascii="Times New Roman" w:hAnsi="Times New Roman"/>
          <w:color w:val="000000"/>
          <w:sz w:val="22"/>
        </w:rPr>
        <w:t>means a commercial bank with a consolidated combined capital and surplus of at least $5,000,000,000 that is (i) organized under the laws of the U.S., any state thereof, the District of Columbia and is a member of the Federal Reserve System and is a U.S. depository institution the deposits of which are insured by the Federal Deposit Insurance Corporation, (ii) a corporation organized under section 25A of the U.S. Federal Reserve Act of 1913, (iii) a subsidiary, branch, agency or commercial lending company of a foreign bank operating pursuant to approval by and under the supervision of the FRB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before="0" w:after="240"/>
        <w:jc w:val="both"/>
        <w:rPr/>
      </w:pPr>
      <w:r>
        <w:rPr>
          <w:color w:val="000000"/>
        </w:rPr>
        <w:t>“</w:t>
      </w:r>
      <w:r>
        <w:rPr>
          <w:rFonts w:ascii="Times New Roman" w:hAnsi="Times New Roman"/>
          <w:b/>
          <w:i/>
          <w:color w:val="000000"/>
          <w:sz w:val="22"/>
        </w:rPr>
        <w:t>Regulated Entity</w:t>
      </w:r>
      <w:r>
        <w:rPr>
          <w:rFonts w:ascii="Times New Roman" w:hAnsi="Times New Roman"/>
          <w:color w:val="000000"/>
          <w:sz w:val="20"/>
        </w:rPr>
        <w:t xml:space="preserve">” </w:t>
      </w:r>
      <w:r>
        <w:rPr>
          <w:rFonts w:ascii="Times New Roman" w:hAnsi="Times New Roman"/>
          <w:color w:val="000000"/>
          <w:sz w:val="22"/>
        </w:rPr>
        <w:t>means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Directors of the Federal Deposit Insurance Corporation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before="0" w:after="240"/>
        <w:jc w:val="both"/>
        <w:rPr/>
      </w:pPr>
      <w:r>
        <w:rPr>
          <w:color w:val="000000"/>
        </w:rPr>
        <w:t>“</w:t>
      </w:r>
      <w:r>
        <w:rPr>
          <w:rFonts w:ascii="Times New Roman" w:hAnsi="Times New Roman"/>
          <w:b/>
          <w:i/>
          <w:color w:val="000000"/>
          <w:sz w:val="22"/>
        </w:rPr>
        <w:t>Related Parties</w:t>
      </w:r>
      <w:r>
        <w:rPr>
          <w:rFonts w:ascii="Times New Roman" w:hAnsi="Times New Roman"/>
          <w:color w:val="000000"/>
          <w:sz w:val="20"/>
        </w:rPr>
        <w:t xml:space="preserve">” </w:t>
      </w:r>
      <w:r>
        <w:rPr>
          <w:rFonts w:ascii="Times New Roman" w:hAnsi="Times New Roman"/>
          <w:color w:val="000000"/>
          <w:sz w:val="22"/>
        </w:rPr>
        <w:t>means, with respect to any specified Person, such Person’s Affiliates and the respective directors, officers, employees, agents and advisors of such Person and such Person’s Affiliates.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Relevant Governmental Body</w:t>
      </w:r>
      <w:r>
        <w:rPr>
          <w:rFonts w:ascii="Times New Roman" w:hAnsi="Times New Roman"/>
          <w:color w:val="000000"/>
          <w:sz w:val="20"/>
        </w:rPr>
        <w:t xml:space="preserve">” </w:t>
      </w:r>
      <w:r>
        <w:rPr>
          <w:rFonts w:ascii="Times New Roman" w:hAnsi="Times New Roman"/>
          <w:color w:val="000000"/>
          <w:sz w:val="22"/>
        </w:rPr>
        <w:t>means the Board and/or the NYFRB, or a committee officially endorsed or convened by the Board and/or the NYFRB or, in each case, any successor thereto.</w:t>
      </w:r>
    </w:p>
    <w:p>
      <w:pPr>
        <w:pStyle w:val="TextBody"/>
        <w:bidi w:val="0"/>
        <w:spacing w:before="0" w:after="240"/>
        <w:jc w:val="both"/>
        <w:rPr/>
      </w:pPr>
      <w:r>
        <w:rPr>
          <w:color w:val="000000"/>
        </w:rPr>
        <w:t>“</w:t>
      </w:r>
      <w:r>
        <w:rPr>
          <w:rFonts w:ascii="Times New Roman" w:hAnsi="Times New Roman"/>
          <w:b/>
          <w:i/>
          <w:color w:val="000000"/>
          <w:sz w:val="22"/>
        </w:rPr>
        <w:t>Relevant Rate</w:t>
      </w:r>
      <w:r>
        <w:rPr>
          <w:rFonts w:ascii="Times New Roman" w:hAnsi="Times New Roman"/>
          <w:color w:val="000000"/>
          <w:sz w:val="20"/>
        </w:rPr>
        <w:t xml:space="preserve">” </w:t>
      </w:r>
      <w:r>
        <w:rPr>
          <w:rFonts w:ascii="Times New Roman" w:hAnsi="Times New Roman"/>
          <w:color w:val="000000"/>
          <w:sz w:val="22"/>
        </w:rPr>
        <w:t>means (i) with respect to any Term Benchmark Borrowing, the Adjusted Term SOFR Rate or (ii) with respect to any RFR Borrowing, the Adjusted Daily Simple SOFR, as applicable.</w:t>
      </w:r>
    </w:p>
    <w:p>
      <w:pPr>
        <w:pStyle w:val="TextBody"/>
        <w:bidi w:val="0"/>
        <w:spacing w:before="0" w:after="240"/>
        <w:jc w:val="both"/>
        <w:rPr/>
      </w:pPr>
      <w:r>
        <w:rPr>
          <w:color w:val="000000"/>
        </w:rPr>
        <w:t>“</w:t>
      </w:r>
      <w:r>
        <w:rPr>
          <w:rFonts w:ascii="Times New Roman" w:hAnsi="Times New Roman"/>
          <w:b/>
          <w:i/>
          <w:color w:val="000000"/>
          <w:sz w:val="22"/>
        </w:rPr>
        <w:t>Required Lenders</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2.20</w:t>
      </w:r>
      <w:r>
        <w:rPr>
          <w:rFonts w:ascii="Times New Roman" w:hAnsi="Times New Roman"/>
          <w:color w:val="000000"/>
          <w:sz w:val="22"/>
        </w:rPr>
        <w:t xml:space="preserve">, (a) at any time prior to the earlier of the Loans becoming due and payable pursuant to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 xml:space="preserve">or the Commitments terminating or expiring, Lenders having Credit Exposure and Unfunded Commitments representing more than 50% of the sum of the Aggregate Credit Exposure and Unfunded Commitments at such time, </w:t>
      </w:r>
      <w:r>
        <w:rPr>
          <w:rFonts w:ascii="Times New Roman" w:hAnsi="Times New Roman"/>
          <w:i/>
          <w:color w:val="000000"/>
          <w:sz w:val="22"/>
        </w:rPr>
        <w:t xml:space="preserve">provided </w:t>
      </w:r>
      <w:r>
        <w:rPr>
          <w:rFonts w:ascii="Times New Roman" w:hAnsi="Times New Roman"/>
          <w:color w:val="000000"/>
          <w:sz w:val="22"/>
        </w:rPr>
        <w:t xml:space="preserve">that, solely for purposes of declaring the Loans to be due and payable pursuant to </w:t>
      </w:r>
      <w:r>
        <w:rPr>
          <w:rFonts w:ascii="Times New Roman" w:hAnsi="Times New Roman"/>
          <w:color w:val="000000"/>
          <w:sz w:val="22"/>
          <w:u w:val="single"/>
        </w:rPr>
        <w:t>Article VII</w:t>
      </w:r>
      <w:r>
        <w:rPr>
          <w:rFonts w:ascii="Times New Roman" w:hAnsi="Times New Roman"/>
          <w:color w:val="000000"/>
          <w:sz w:val="22"/>
        </w:rPr>
        <w:t xml:space="preserve">, the Unfunded Commitment of each Lender shall be deemed to be zero; and (b) for all purposes after the Loans become due and payable pursuant to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 xml:space="preserve">or the Commitments expire or terminate, Lenders having Credit Exposure representing more than 50% of the Aggregate Credit Exposure at such time; </w:t>
      </w:r>
      <w:r>
        <w:rPr>
          <w:rFonts w:ascii="Times New Roman" w:hAnsi="Times New Roman"/>
          <w:i/>
          <w:color w:val="000000"/>
          <w:sz w:val="22"/>
        </w:rPr>
        <w:t xml:space="preserve">provided </w:t>
      </w:r>
      <w:r>
        <w:rPr>
          <w:rFonts w:ascii="Times New Roman" w:hAnsi="Times New Roman"/>
          <w:color w:val="000000"/>
          <w:sz w:val="22"/>
        </w:rPr>
        <w:t xml:space="preserve">that, in the case of clauses (a) and (b) above, (x) the Credit Exposure of the Swingline Lender shall be deemed to exclude any amount of its Swingline Exposure in excess of its Applicable Percentage of all outstanding Swingline Loans, adjusted to give effect to any reallocation under </w:t>
      </w:r>
      <w:r>
        <w:rPr>
          <w:rFonts w:ascii="Times New Roman" w:hAnsi="Times New Roman"/>
          <w:color w:val="000000"/>
          <w:sz w:val="22"/>
          <w:u w:val="single"/>
        </w:rPr>
        <w:t>Section 2.20</w:t>
      </w:r>
      <w:r>
        <w:rPr>
          <w:rFonts w:ascii="Times New Roman" w:hAnsi="Times New Roman"/>
          <w:color w:val="000000"/>
          <w:sz w:val="20"/>
        </w:rPr>
        <w:t xml:space="preserve"> </w:t>
      </w:r>
      <w:r>
        <w:rPr>
          <w:rFonts w:ascii="Times New Roman" w:hAnsi="Times New Roman"/>
          <w:color w:val="000000"/>
          <w:sz w:val="22"/>
        </w:rPr>
        <w:t>of the Swingline Exposures of Defaulting Lenders in effect at such time, and the Unfunded Commitment of such Lender shall be determined on the basis of its Credit Exposure excluding such excess amount and (y) if there are two (2) or more Lenders, then Required Lenders must include at least two (2) Lenders (with Lenders that are Affiliates or Approved Funds of a Lender deemed to be a single Lender for purposes of this proviso).</w:t>
      </w:r>
    </w:p>
    <w:p>
      <w:pPr>
        <w:pStyle w:val="TextBody"/>
        <w:bidi w:val="0"/>
        <w:spacing w:before="0" w:after="240"/>
        <w:jc w:val="both"/>
        <w:rPr/>
      </w:pPr>
      <w:r>
        <w:rPr>
          <w:color w:val="000000"/>
        </w:rPr>
        <w:t>“</w:t>
      </w:r>
      <w:r>
        <w:rPr>
          <w:rFonts w:ascii="Times New Roman" w:hAnsi="Times New Roman"/>
          <w:b/>
          <w:i/>
          <w:color w:val="000000"/>
          <w:sz w:val="22"/>
        </w:rPr>
        <w:t>Requirement of Law</w:t>
      </w:r>
      <w:r>
        <w:rPr>
          <w:rFonts w:ascii="Times New Roman" w:hAnsi="Times New Roman"/>
          <w:color w:val="000000"/>
          <w:sz w:val="20"/>
        </w:rPr>
        <w:t xml:space="preserve">” </w:t>
      </w:r>
      <w:r>
        <w:rPr>
          <w:rFonts w:ascii="Times New Roman" w:hAnsi="Times New Roman"/>
          <w:color w:val="000000"/>
          <w:sz w:val="22"/>
        </w:rPr>
        <w:t>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b/>
          <w:i/>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b/>
          <w:i/>
          <w:color w:val="000000"/>
          <w:sz w:val="22"/>
        </w:rPr>
        <w:t>Responsible Officer</w:t>
      </w:r>
      <w:r>
        <w:rPr>
          <w:rFonts w:ascii="Times New Roman" w:hAnsi="Times New Roman"/>
          <w:color w:val="000000"/>
          <w:sz w:val="20"/>
        </w:rPr>
        <w:t xml:space="preserve">” </w:t>
      </w:r>
      <w:r>
        <w:rPr>
          <w:rFonts w:ascii="Times New Roman" w:hAnsi="Times New Roman"/>
          <w:color w:val="000000"/>
          <w:sz w:val="22"/>
        </w:rPr>
        <w:t>of any Person means the chief executive officer, president, vice president or any Financial Officer of such Person, and any other officer (or, in the case of any such Person that is a Foreign Subsidiary, director or managing partner or similar official) of such Person with responsibility for the administration of the obligations of such Person under this Agreement.</w:t>
      </w:r>
    </w:p>
    <w:p>
      <w:pPr>
        <w:pStyle w:val="TextBody"/>
        <w:bidi w:val="0"/>
        <w:spacing w:before="0" w:after="240"/>
        <w:jc w:val="both"/>
        <w:rPr/>
      </w:pPr>
      <w:r>
        <w:rPr>
          <w:color w:val="000000"/>
        </w:rPr>
        <w:t>“</w:t>
      </w:r>
      <w:r>
        <w:rPr>
          <w:rFonts w:ascii="Times New Roman" w:hAnsi="Times New Roman"/>
          <w:b/>
          <w:i/>
          <w:color w:val="000000"/>
          <w:sz w:val="22"/>
        </w:rPr>
        <w:t>Restricted Payment</w:t>
      </w:r>
      <w:r>
        <w:rPr>
          <w:rFonts w:ascii="Times New Roman" w:hAnsi="Times New Roman"/>
          <w:color w:val="000000"/>
          <w:sz w:val="20"/>
        </w:rPr>
        <w:t xml:space="preserve">” </w:t>
      </w:r>
      <w:r>
        <w:rPr>
          <w:rFonts w:ascii="Times New Roman" w:hAnsi="Times New Roman"/>
          <w:color w:val="000000"/>
          <w:sz w:val="22"/>
        </w:rPr>
        <w:t>means (i)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and (ii) any voluntary prepayment of principal of, premium, if any, or voluntary redemption, purchase, retirement, defeasance (including in-substance or legal defeasance), sinking fund or similar voluntary payment with respect to, any Junior Indebtedness.</w:t>
      </w:r>
    </w:p>
    <w:p>
      <w:pPr>
        <w:pStyle w:val="TextBody"/>
        <w:bidi w:val="0"/>
        <w:spacing w:before="0" w:after="240"/>
        <w:jc w:val="both"/>
        <w:rPr/>
      </w:pPr>
      <w:r>
        <w:rPr>
          <w:color w:val="000000"/>
        </w:rPr>
        <w:t>“</w:t>
      </w:r>
      <w:r>
        <w:rPr>
          <w:rFonts w:ascii="Times New Roman" w:hAnsi="Times New Roman"/>
          <w:b/>
          <w:i/>
          <w:color w:val="000000"/>
          <w:sz w:val="22"/>
        </w:rPr>
        <w:t>Revolving Borrowing</w:t>
      </w:r>
      <w:r>
        <w:rPr>
          <w:rFonts w:ascii="Times New Roman" w:hAnsi="Times New Roman"/>
          <w:color w:val="000000"/>
          <w:sz w:val="20"/>
        </w:rPr>
        <w:t xml:space="preserve">” </w:t>
      </w:r>
      <w:r>
        <w:rPr>
          <w:rFonts w:ascii="Times New Roman" w:hAnsi="Times New Roman"/>
          <w:color w:val="000000"/>
          <w:sz w:val="22"/>
        </w:rPr>
        <w:t>means Revolving Loans of the same Type, made, converted or continued on the same date and, in the case of Term Benchmark Loans, as to which a single Interest Period is in effect.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Revolving Facility</w:t>
      </w:r>
      <w:r>
        <w:rPr>
          <w:rFonts w:ascii="Times New Roman" w:hAnsi="Times New Roman"/>
          <w:color w:val="000000"/>
          <w:sz w:val="20"/>
        </w:rPr>
        <w:t xml:space="preserve">” </w:t>
      </w:r>
      <w:r>
        <w:rPr>
          <w:rFonts w:ascii="Times New Roman" w:hAnsi="Times New Roman"/>
          <w:color w:val="000000"/>
          <w:sz w:val="22"/>
        </w:rPr>
        <w:t>means, the three-year revolving credit facility in the amount of the stated Commitment hereunder.</w:t>
      </w:r>
    </w:p>
    <w:p>
      <w:pPr>
        <w:pStyle w:val="TextBody"/>
        <w:bidi w:val="0"/>
        <w:spacing w:before="0" w:after="240"/>
        <w:jc w:val="both"/>
        <w:rPr/>
      </w:pPr>
      <w:r>
        <w:rPr>
          <w:color w:val="000000"/>
        </w:rPr>
        <w:t>“</w:t>
      </w:r>
      <w:r>
        <w:rPr>
          <w:rFonts w:ascii="Times New Roman" w:hAnsi="Times New Roman"/>
          <w:b/>
          <w:i/>
          <w:color w:val="000000"/>
          <w:sz w:val="22"/>
        </w:rPr>
        <w:t>Revolving Loan</w:t>
      </w:r>
      <w:r>
        <w:rPr>
          <w:rFonts w:ascii="Times New Roman" w:hAnsi="Times New Roman"/>
          <w:color w:val="000000"/>
          <w:sz w:val="20"/>
        </w:rPr>
        <w:t xml:space="preserve">” </w:t>
      </w:r>
      <w:r>
        <w:rPr>
          <w:rFonts w:ascii="Times New Roman" w:hAnsi="Times New Roman"/>
          <w:color w:val="000000"/>
          <w:sz w:val="22"/>
        </w:rPr>
        <w:t xml:space="preserve">means a Loan made pursuant to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RFR Borrowing</w:t>
      </w:r>
      <w:r>
        <w:rPr>
          <w:rFonts w:ascii="Times New Roman" w:hAnsi="Times New Roman"/>
          <w:color w:val="000000"/>
          <w:sz w:val="20"/>
        </w:rPr>
        <w:t xml:space="preserve">” </w:t>
      </w:r>
      <w:r>
        <w:rPr>
          <w:rFonts w:ascii="Times New Roman" w:hAnsi="Times New Roman"/>
          <w:color w:val="000000"/>
          <w:sz w:val="22"/>
        </w:rPr>
        <w:t>means, as to any Borrowing, the RFR Loans comprising such Borrowing.</w:t>
      </w:r>
    </w:p>
    <w:p>
      <w:pPr>
        <w:pStyle w:val="TextBody"/>
        <w:bidi w:val="0"/>
        <w:spacing w:before="0" w:after="240"/>
        <w:jc w:val="both"/>
        <w:rPr/>
      </w:pPr>
      <w:r>
        <w:rPr>
          <w:color w:val="000000"/>
        </w:rPr>
        <w:t>“</w:t>
      </w:r>
      <w:r>
        <w:rPr>
          <w:rFonts w:ascii="Times New Roman" w:hAnsi="Times New Roman"/>
          <w:b/>
          <w:i/>
          <w:color w:val="000000"/>
          <w:sz w:val="22"/>
        </w:rPr>
        <w:t>RFR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Adjusted Daily Simple SOFR.</w:t>
      </w:r>
    </w:p>
    <w:p>
      <w:pPr>
        <w:pStyle w:val="TextBody"/>
        <w:bidi w:val="0"/>
        <w:spacing w:before="0" w:after="240"/>
        <w:jc w:val="both"/>
        <w:rPr/>
      </w:pPr>
      <w:r>
        <w:rPr>
          <w:color w:val="000000"/>
        </w:rPr>
        <w:t>“</w:t>
      </w:r>
      <w:r>
        <w:rPr>
          <w:rFonts w:ascii="Times New Roman" w:hAnsi="Times New Roman"/>
          <w:b/>
          <w:i/>
          <w:color w:val="000000"/>
          <w:sz w:val="22"/>
        </w:rPr>
        <w:t>S&amp;P</w:t>
      </w:r>
      <w:r>
        <w:rPr>
          <w:rFonts w:ascii="Times New Roman" w:hAnsi="Times New Roman"/>
          <w:color w:val="000000"/>
          <w:sz w:val="20"/>
        </w:rPr>
        <w:t xml:space="preserve">” </w:t>
      </w:r>
      <w:r>
        <w:rPr>
          <w:rFonts w:ascii="Times New Roman" w:hAnsi="Times New Roman"/>
          <w:color w:val="000000"/>
          <w:sz w:val="22"/>
        </w:rPr>
        <w:t>means Standard &amp; Poor’s Rating Services, a Standard &amp; Poor’s Financial Services LLC business.</w:t>
      </w:r>
    </w:p>
    <w:p>
      <w:pPr>
        <w:pStyle w:val="TextBody"/>
        <w:bidi w:val="0"/>
        <w:spacing w:before="0" w:after="240"/>
        <w:jc w:val="both"/>
        <w:rPr/>
      </w:pPr>
      <w:r>
        <w:rPr>
          <w:color w:val="000000"/>
        </w:rPr>
        <w:t>“</w:t>
      </w:r>
      <w:r>
        <w:rPr>
          <w:rFonts w:ascii="Times New Roman" w:hAnsi="Times New Roman"/>
          <w:b/>
          <w:i/>
          <w:color w:val="000000"/>
          <w:sz w:val="22"/>
        </w:rPr>
        <w:t>Sanctioned Country</w:t>
      </w:r>
      <w:r>
        <w:rPr>
          <w:rFonts w:ascii="Times New Roman" w:hAnsi="Times New Roman"/>
          <w:color w:val="000000"/>
          <w:sz w:val="20"/>
        </w:rPr>
        <w:t xml:space="preserve">” </w:t>
      </w:r>
      <w:r>
        <w:rPr>
          <w:rFonts w:ascii="Times New Roman" w:hAnsi="Times New Roman"/>
          <w:color w:val="000000"/>
          <w:sz w:val="22"/>
        </w:rPr>
        <w:t>means, at any time, a country, region or territory which is itself the subject or target of comprehensive Sanctions (at the time of this Agreement, the so-called Donetsk People’s Republic, the so-called Luhansk People’s Republic, the Crimea, non-government controlled portions of the Kherson and Zaporizhzhia regions of Ukraine, Cuba, Iran and North Korea).</w:t>
      </w:r>
    </w:p>
    <w:p>
      <w:pPr>
        <w:pStyle w:val="TextBody"/>
        <w:bidi w:val="0"/>
        <w:spacing w:before="0" w:after="240"/>
        <w:jc w:val="both"/>
        <w:rPr/>
      </w:pPr>
      <w:r>
        <w:rPr>
          <w:color w:val="000000"/>
        </w:rPr>
        <w:t>“</w:t>
      </w:r>
      <w:r>
        <w:rPr>
          <w:rFonts w:ascii="Times New Roman" w:hAnsi="Times New Roman"/>
          <w:b/>
          <w:i/>
          <w:color w:val="000000"/>
          <w:sz w:val="22"/>
        </w:rPr>
        <w:t>Sanctioned Person</w:t>
      </w:r>
      <w:r>
        <w:rPr>
          <w:rFonts w:ascii="Times New Roman" w:hAnsi="Times New Roman"/>
          <w:color w:val="000000"/>
          <w:sz w:val="20"/>
        </w:rPr>
        <w:t xml:space="preserve">” </w:t>
      </w:r>
      <w:r>
        <w:rPr>
          <w:rFonts w:ascii="Times New Roman" w:hAnsi="Times New Roman"/>
          <w:color w:val="000000"/>
          <w:sz w:val="22"/>
        </w:rPr>
        <w:t>means, at any time, any Person subject or target of any Sanctions, including (a) any Person listed in any Sanctions-related list of designated Persons maintained by the U.S. government, including by Office of Foreign Assets Control of the U.S. Department of the Treasury, the U.S. Department of State, or by the United Nations Security Council, the European Union, His Majesty’s Treasury of the United Kingdom or other relevant sanctions authority, (b) any Person operating from, or organized or resident in, a Sanctioned Country, (c) any Person owned or controlled (as ownership and control are defined and/or established in and/or by any applicable laws, rules, regulations, or orders) by any such Person or Persons described in the foregoing clauses (a) or (b).</w:t>
      </w:r>
    </w:p>
    <w:p>
      <w:pPr>
        <w:pStyle w:val="TextBody"/>
        <w:bidi w:val="0"/>
        <w:spacing w:before="0" w:after="240"/>
        <w:jc w:val="both"/>
        <w:rPr/>
      </w:pPr>
      <w:r>
        <w:rPr>
          <w:color w:val="000000"/>
        </w:rPr>
        <w:t>“</w:t>
      </w:r>
      <w:r>
        <w:rPr>
          <w:rFonts w:ascii="Times New Roman" w:hAnsi="Times New Roman"/>
          <w:b/>
          <w:i/>
          <w:color w:val="000000"/>
          <w:sz w:val="22"/>
        </w:rPr>
        <w:t>Sanctions</w:t>
      </w:r>
      <w:r>
        <w:rPr>
          <w:rFonts w:ascii="Times New Roman" w:hAnsi="Times New Roman"/>
          <w:color w:val="000000"/>
          <w:sz w:val="20"/>
        </w:rPr>
        <w:t xml:space="preserve">” </w:t>
      </w:r>
      <w:r>
        <w:rPr>
          <w:rFonts w:ascii="Times New Roman" w:hAnsi="Times New Roman"/>
          <w:color w:val="000000"/>
          <w:sz w:val="22"/>
        </w:rPr>
        <w:t>means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His Majesty’s Treasury of the United Kingdom.</w:t>
      </w:r>
    </w:p>
    <w:p>
      <w:pPr>
        <w:pStyle w:val="TextBody"/>
        <w:bidi w:val="0"/>
        <w:spacing w:before="0" w:after="24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Securities and Exchange Commission of the United States of America.</w:t>
      </w:r>
    </w:p>
    <w:p>
      <w:pPr>
        <w:pStyle w:val="TextBody"/>
        <w:bidi w:val="0"/>
        <w:spacing w:before="0" w:after="240"/>
        <w:jc w:val="both"/>
        <w:rPr/>
      </w:pPr>
      <w:r>
        <w:rPr>
          <w:color w:val="0000FF"/>
          <w:u w:val="single"/>
        </w:rPr>
        <w:t>“</w:t>
      </w:r>
      <w:r>
        <w:rPr>
          <w:rFonts w:ascii="Times New Roman" w:hAnsi="Times New Roman"/>
          <w:b/>
          <w:i/>
          <w:color w:val="0000FF"/>
          <w:sz w:val="22"/>
          <w:u w:val="single"/>
        </w:rPr>
        <w:t>Second Amendment</w:t>
      </w:r>
      <w:r>
        <w:rPr>
          <w:rFonts w:ascii="Times New Roman" w:hAnsi="Times New Roman"/>
          <w:color w:val="0000FF"/>
          <w:sz w:val="20"/>
          <w:u w:val="single"/>
        </w:rPr>
        <w:t xml:space="preserve">” </w:t>
      </w:r>
      <w:r>
        <w:rPr>
          <w:rFonts w:ascii="Times New Roman" w:hAnsi="Times New Roman"/>
          <w:color w:val="0000FF"/>
          <w:sz w:val="22"/>
          <w:u w:val="single"/>
        </w:rPr>
        <w:t>means that certain Second Amendment to Credit Agreement, dated as of the Second Amendment Effective Date, by and among the Borrower, the Guarantors, the Administrative Agent and the Lenders and Issuing Parties party thereto.</w:t>
      </w:r>
    </w:p>
    <w:p>
      <w:pPr>
        <w:pStyle w:val="TextBody"/>
        <w:bidi w:val="0"/>
        <w:spacing w:before="0" w:after="240"/>
        <w:jc w:val="both"/>
        <w:rPr/>
      </w:pPr>
      <w:r>
        <w:rPr>
          <w:color w:val="0000FF"/>
          <w:u w:val="single"/>
        </w:rPr>
        <w:t>“</w:t>
      </w:r>
      <w:r>
        <w:rPr>
          <w:rFonts w:ascii="Times New Roman" w:hAnsi="Times New Roman"/>
          <w:b/>
          <w:i/>
          <w:color w:val="0000FF"/>
          <w:sz w:val="22"/>
          <w:u w:val="single"/>
        </w:rPr>
        <w:t>Second Amendment Effective Date</w:t>
      </w:r>
      <w:r>
        <w:rPr>
          <w:rFonts w:ascii="Times New Roman" w:hAnsi="Times New Roman"/>
          <w:color w:val="0000FF"/>
          <w:sz w:val="20"/>
          <w:u w:val="single"/>
        </w:rPr>
        <w:t xml:space="preserve">” </w:t>
      </w:r>
      <w:r>
        <w:rPr>
          <w:rFonts w:ascii="Times New Roman" w:hAnsi="Times New Roman"/>
          <w:color w:val="0000FF"/>
          <w:sz w:val="22"/>
          <w:u w:val="single"/>
        </w:rPr>
        <w:t>means April 3, 2026.</w:t>
      </w:r>
    </w:p>
    <w:p>
      <w:pPr>
        <w:pStyle w:val="TextBody"/>
        <w:bidi w:val="0"/>
        <w:spacing w:before="0" w:after="240"/>
        <w:jc w:val="both"/>
        <w:rPr/>
      </w:pPr>
      <w:r>
        <w:rPr>
          <w:color w:val="0000FF"/>
          <w:u w:val="single"/>
        </w:rPr>
        <w:t>“</w:t>
      </w:r>
      <w:r>
        <w:rPr>
          <w:rFonts w:ascii="Times New Roman" w:hAnsi="Times New Roman"/>
          <w:b/>
          <w:i/>
          <w:color w:val="0000FF"/>
          <w:sz w:val="22"/>
          <w:u w:val="single"/>
        </w:rPr>
        <w:t>Second Amendment Lead Arrangers</w:t>
      </w:r>
      <w:r>
        <w:rPr>
          <w:rFonts w:ascii="Times New Roman" w:hAnsi="Times New Roman"/>
          <w:color w:val="0000FF"/>
          <w:sz w:val="20"/>
          <w:u w:val="single"/>
        </w:rPr>
        <w:t xml:space="preserve">” </w:t>
      </w:r>
      <w:r>
        <w:rPr>
          <w:rFonts w:ascii="Times New Roman" w:hAnsi="Times New Roman"/>
          <w:color w:val="0000FF"/>
          <w:sz w:val="22"/>
          <w:u w:val="single"/>
        </w:rPr>
        <w:t>has the meaning set forth in the Second Amendment.</w:t>
      </w:r>
      <w:r>
        <w:rPr>
          <w:rFonts w:ascii="Times New Roman" w:hAnsi="Times New Roman"/>
          <w:color w:val="0000FF"/>
          <w:sz w:val="20"/>
        </w:rPr>
        <w:t xml:space="preserve"> </w:t>
      </w:r>
    </w:p>
    <w:p>
      <w:pPr>
        <w:pStyle w:val="TextBody"/>
        <w:bidi w:val="0"/>
        <w:spacing w:before="0" w:after="240"/>
        <w:jc w:val="both"/>
        <w:rPr/>
      </w:pPr>
      <w:r>
        <w:rPr>
          <w:color w:val="000000"/>
        </w:rPr>
        <w:t>“</w:t>
      </w:r>
      <w:r>
        <w:rPr>
          <w:rFonts w:ascii="Times New Roman" w:hAnsi="Times New Roman"/>
          <w:b/>
          <w:i/>
          <w:color w:val="000000"/>
          <w:sz w:val="22"/>
        </w:rPr>
        <w:t>Secured Obligations</w:t>
      </w:r>
      <w:r>
        <w:rPr>
          <w:rFonts w:ascii="Times New Roman" w:hAnsi="Times New Roman"/>
          <w:color w:val="000000"/>
          <w:sz w:val="20"/>
        </w:rPr>
        <w:t xml:space="preserve">” </w:t>
      </w:r>
      <w:r>
        <w:rPr>
          <w:rFonts w:ascii="Times New Roman" w:hAnsi="Times New Roman"/>
          <w:color w:val="000000"/>
          <w:sz w:val="22"/>
        </w:rPr>
        <w:t xml:space="preserve">means all Obligations, together with all Banking Services Obligations and Swap Agreement Obligations owing to one or more Lenders or their respective Affiliates by any Loan Party; </w:t>
      </w:r>
      <w:r>
        <w:rPr>
          <w:rFonts w:ascii="Times New Roman" w:hAnsi="Times New Roman"/>
          <w:i/>
          <w:color w:val="000000"/>
          <w:sz w:val="22"/>
        </w:rPr>
        <w:t xml:space="preserve">provided </w:t>
      </w:r>
      <w:r>
        <w:rPr>
          <w:rFonts w:ascii="Times New Roman" w:hAnsi="Times New Roman"/>
          <w:color w:val="000000"/>
          <w:sz w:val="22"/>
        </w:rPr>
        <w:t>that (x) obligations of any Loan Party under any Banking Services Obligations and Swap Agreement Obligations shall be secured and guaranteed only to the extent that, and for so long as, the other Obligations are so secured and guaranteed, (y) any release of Collateral or Guarantors effected in the manner permitted by this Agreement shall not require the consent of holders of Banking Services Obligations and Swap Agreement Obligations and (z) the definition of “Secured Obligations” shall not create any guarantee by any Guarantor of (or grant of security interest by any Guarantor to support, as</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applicable) any Excluded Swap Obligations of such Guarantor for purposes of determining any obligations of any Guarantor.</w:t>
      </w:r>
    </w:p>
    <w:p>
      <w:pPr>
        <w:pStyle w:val="TextBody"/>
        <w:bidi w:val="0"/>
        <w:spacing w:before="0" w:after="240"/>
        <w:jc w:val="both"/>
        <w:rPr/>
      </w:pPr>
      <w:r>
        <w:rPr>
          <w:color w:val="000000"/>
        </w:rPr>
        <w:t>“</w:t>
      </w:r>
      <w:r>
        <w:rPr>
          <w:rFonts w:ascii="Times New Roman" w:hAnsi="Times New Roman"/>
          <w:b/>
          <w:i/>
          <w:color w:val="000000"/>
          <w:sz w:val="22"/>
        </w:rPr>
        <w:t>Secured Parties</w:t>
      </w:r>
      <w:r>
        <w:rPr>
          <w:rFonts w:ascii="Times New Roman" w:hAnsi="Times New Roman"/>
          <w:color w:val="000000"/>
          <w:sz w:val="20"/>
        </w:rPr>
        <w:t xml:space="preserve">” </w:t>
      </w:r>
      <w:r>
        <w:rPr>
          <w:rFonts w:ascii="Times New Roman" w:hAnsi="Times New Roman"/>
          <w:color w:val="000000"/>
          <w:sz w:val="22"/>
        </w:rPr>
        <w:t>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permitted assigns of each of the foregoing.</w:t>
      </w:r>
    </w:p>
    <w:p>
      <w:pPr>
        <w:pStyle w:val="TextBody"/>
        <w:bidi w:val="0"/>
        <w:spacing w:before="0" w:after="240"/>
        <w:jc w:val="both"/>
        <w:rPr/>
      </w:pPr>
      <w:r>
        <w:rPr>
          <w:color w:val="000000"/>
        </w:rPr>
        <w:t>“</w:t>
      </w:r>
      <w:r>
        <w:rPr>
          <w:rFonts w:ascii="Times New Roman" w:hAnsi="Times New Roman"/>
          <w:b/>
          <w:i/>
          <w:color w:val="000000"/>
          <w:sz w:val="22"/>
        </w:rPr>
        <w:t>Security Agreement</w:t>
      </w:r>
      <w:r>
        <w:rPr>
          <w:rFonts w:ascii="Times New Roman" w:hAnsi="Times New Roman"/>
          <w:color w:val="000000"/>
          <w:sz w:val="20"/>
        </w:rPr>
        <w:t xml:space="preserve">” </w:t>
      </w:r>
      <w:r>
        <w:rPr>
          <w:rFonts w:ascii="Times New Roman" w:hAnsi="Times New Roman"/>
          <w:color w:val="000000"/>
          <w:sz w:val="22"/>
        </w:rPr>
        <w:t xml:space="preserve">means that certain Pledge and Security Agreement (including any and all supplements thereto), substantially in the form of </w:t>
      </w:r>
      <w:r>
        <w:rPr>
          <w:rFonts w:ascii="Times New Roman" w:hAnsi="Times New Roman"/>
          <w:color w:val="000000"/>
          <w:sz w:val="22"/>
          <w:u w:val="single"/>
        </w:rPr>
        <w:t>Exhibit J</w:t>
      </w:r>
      <w:r>
        <w:rPr>
          <w:rFonts w:ascii="Times New Roman" w:hAnsi="Times New Roman"/>
          <w:color w:val="000000"/>
          <w:sz w:val="20"/>
        </w:rPr>
        <w:t xml:space="preserve"> </w:t>
      </w:r>
      <w:r>
        <w:rPr>
          <w:rFonts w:ascii="Times New Roman" w:hAnsi="Times New Roman"/>
          <w:color w:val="000000"/>
          <w:sz w:val="22"/>
        </w:rPr>
        <w:t>hereto, to be dated as of the Effective Date, among the Loan Parties and the Administrative Agent, for the benefit of the Administrative Agent and the other Secured Parties, and any other pledge or security agreement securing the Secured Obligations entered into, after the date of this Agreement by such Loan Parties (as required by this Agreement or any other Loan Document) or any other Loan Party for the benefit of the Administrative Agent and the Secured Parties, as the same may be amended, modified, restated or otherwise supplemented from time to time.</w:t>
      </w:r>
    </w:p>
    <w:p>
      <w:pPr>
        <w:pStyle w:val="TextBody"/>
        <w:bidi w:val="0"/>
        <w:spacing w:before="0" w:after="240"/>
        <w:jc w:val="both"/>
        <w:rPr/>
      </w:pPr>
      <w:r>
        <w:rPr>
          <w:color w:val="000000"/>
        </w:rPr>
        <w:t>“</w:t>
      </w:r>
      <w:r>
        <w:rPr>
          <w:rFonts w:ascii="Times New Roman" w:hAnsi="Times New Roman"/>
          <w:b/>
          <w:i/>
          <w:color w:val="000000"/>
          <w:sz w:val="22"/>
        </w:rPr>
        <w:t>SOFR</w:t>
      </w:r>
      <w:r>
        <w:rPr>
          <w:rFonts w:ascii="Times New Roman" w:hAnsi="Times New Roman"/>
          <w:color w:val="000000"/>
          <w:sz w:val="20"/>
        </w:rPr>
        <w:t xml:space="preserve">” </w:t>
      </w:r>
      <w:r>
        <w:rPr>
          <w:rFonts w:ascii="Times New Roman" w:hAnsi="Times New Roman"/>
          <w:color w:val="000000"/>
          <w:sz w:val="22"/>
        </w:rPr>
        <w:t>means a rate equal to the secured overnight financing rate as administered by the SOFR Administrator.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SOFR Administrator</w:t>
      </w:r>
      <w:r>
        <w:rPr>
          <w:rFonts w:ascii="Times New Roman" w:hAnsi="Times New Roman"/>
          <w:color w:val="000000"/>
          <w:sz w:val="20"/>
        </w:rPr>
        <w:t xml:space="preserve">” </w:t>
      </w:r>
      <w:r>
        <w:rPr>
          <w:rFonts w:ascii="Times New Roman" w:hAnsi="Times New Roman"/>
          <w:color w:val="000000"/>
          <w:sz w:val="22"/>
        </w:rPr>
        <w:t>means the NYFRB (or a successor administrator of the secured overnight financing rate).</w:t>
      </w:r>
    </w:p>
    <w:p>
      <w:pPr>
        <w:pStyle w:val="TextBody"/>
        <w:bidi w:val="0"/>
        <w:spacing w:before="0" w:after="240"/>
        <w:jc w:val="both"/>
        <w:rPr/>
      </w:pPr>
      <w:r>
        <w:rPr>
          <w:color w:val="000000"/>
        </w:rPr>
        <w:t>“</w:t>
      </w:r>
      <w:r>
        <w:rPr>
          <w:rFonts w:ascii="Times New Roman" w:hAnsi="Times New Roman"/>
          <w:b/>
          <w:i/>
          <w:color w:val="000000"/>
          <w:sz w:val="22"/>
        </w:rPr>
        <w:t>SOFR Administrator’s Website</w:t>
      </w:r>
      <w:r>
        <w:rPr>
          <w:rFonts w:ascii="Times New Roman" w:hAnsi="Times New Roman"/>
          <w:color w:val="000000"/>
          <w:sz w:val="20"/>
        </w:rPr>
        <w:t xml:space="preserve">” </w:t>
      </w:r>
      <w:r>
        <w:rPr>
          <w:rFonts w:ascii="Times New Roman" w:hAnsi="Times New Roman"/>
          <w:color w:val="000000"/>
          <w:sz w:val="22"/>
        </w:rPr>
        <w:t xml:space="preserve">means the NYFRB’s website, currently at </w:t>
      </w:r>
      <w:r>
        <w:rPr>
          <w:rFonts w:ascii="Times New Roman" w:hAnsi="Times New Roman"/>
          <w:sz w:val="22"/>
        </w:rPr>
        <w:t>http://www.newyorkfed.org</w:t>
      </w:r>
      <w:r>
        <w:rPr>
          <w:rFonts w:ascii="Times New Roman" w:hAnsi="Times New Roman"/>
          <w:color w:val="000000"/>
          <w:sz w:val="22"/>
        </w:rPr>
        <w:t>, 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b/>
          <w:i/>
          <w:color w:val="000000"/>
          <w:sz w:val="22"/>
        </w:rPr>
        <w:t>SOFR Determination Date</w:t>
      </w:r>
      <w:r>
        <w:rPr>
          <w:rFonts w:ascii="Times New Roman" w:hAnsi="Times New Roman"/>
          <w:color w:val="000000"/>
          <w:sz w:val="20"/>
        </w:rPr>
        <w:t xml:space="preserve">” </w:t>
      </w:r>
      <w:r>
        <w:rPr>
          <w:rFonts w:ascii="Times New Roman" w:hAnsi="Times New Roman"/>
          <w:color w:val="000000"/>
          <w:sz w:val="22"/>
        </w:rPr>
        <w:t>has the meaning specified in the definition of “</w:t>
      </w:r>
      <w:r>
        <w:rPr>
          <w:rFonts w:ascii="Times New Roman" w:hAnsi="Times New Roman"/>
          <w:b/>
          <w:i/>
          <w:color w:val="000000"/>
          <w:sz w:val="22"/>
        </w:rPr>
        <w:t>Daily Simple SOFR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SOFR Rate Day</w:t>
      </w:r>
      <w:r>
        <w:rPr>
          <w:rFonts w:ascii="Times New Roman" w:hAnsi="Times New Roman"/>
          <w:color w:val="000000"/>
          <w:sz w:val="20"/>
        </w:rPr>
        <w:t xml:space="preserve">” </w:t>
      </w:r>
      <w:r>
        <w:rPr>
          <w:rFonts w:ascii="Times New Roman" w:hAnsi="Times New Roman"/>
          <w:color w:val="000000"/>
          <w:sz w:val="22"/>
        </w:rPr>
        <w:t>has the meaning specified in the definition of “</w:t>
      </w:r>
      <w:r>
        <w:rPr>
          <w:rFonts w:ascii="Times New Roman" w:hAnsi="Times New Roman"/>
          <w:b/>
          <w:i/>
          <w:color w:val="000000"/>
          <w:sz w:val="22"/>
        </w:rPr>
        <w:t>Daily Simple SOFR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Solvency Certificate</w:t>
      </w:r>
      <w:r>
        <w:rPr>
          <w:rFonts w:ascii="Times New Roman" w:hAnsi="Times New Roman"/>
          <w:color w:val="000000"/>
          <w:sz w:val="20"/>
        </w:rPr>
        <w:t xml:space="preserve">” </w:t>
      </w:r>
      <w:r>
        <w:rPr>
          <w:rFonts w:ascii="Times New Roman" w:hAnsi="Times New Roman"/>
          <w:color w:val="000000"/>
          <w:sz w:val="22"/>
        </w:rPr>
        <w:t xml:space="preserve">means the solvency certificate executed and delivered by a Financial Officer of the Borrower on the Effective Date, substantially in the form of </w:t>
      </w:r>
      <w:r>
        <w:rPr>
          <w:rFonts w:ascii="Times New Roman" w:hAnsi="Times New Roman"/>
          <w:color w:val="000000"/>
          <w:sz w:val="22"/>
          <w:u w:val="single"/>
        </w:rPr>
        <w:t>Exhibit H</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Solvent</w:t>
      </w:r>
      <w:r>
        <w:rPr>
          <w:rFonts w:ascii="Times New Roman" w:hAnsi="Times New Roman"/>
          <w:color w:val="000000"/>
          <w:sz w:val="20"/>
        </w:rPr>
        <w:t xml:space="preserve">” </w:t>
      </w:r>
      <w:r>
        <w:rPr>
          <w:rFonts w:ascii="Times New Roman" w:hAnsi="Times New Roman"/>
          <w:color w:val="000000"/>
          <w:sz w:val="22"/>
        </w:rPr>
        <w:t>means, as to any Person as of any date of determination, that on such date (a) the fair value of the property (on a going concern basis) of such Person is greater than the total amount of liabilities, including contingent liabilities, of such Person, (b) the present fair saleable value (on a going concern basis) of such Person is not less than the amount that will be required to pay the probable liability of such Person on its debts, including contingent debts, as they become absolute and matured in the ordinary course of business, (c) such Person does not intend to, and does not believe that it will, incur debts or liabilities, including contingent debts and liabilities, beyond such Person’s ability to pay such debts and liabilities as they mature in the ordinary course of business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 in the ordinary course of business.</w:t>
      </w:r>
    </w:p>
    <w:p>
      <w:pPr>
        <w:pStyle w:val="TextBody"/>
        <w:bidi w:val="0"/>
        <w:spacing w:before="0" w:after="240"/>
        <w:jc w:val="both"/>
        <w:rPr/>
      </w:pPr>
      <w:r>
        <w:rPr>
          <w:color w:val="000000"/>
        </w:rPr>
        <w:t>“</w:t>
      </w:r>
      <w:r>
        <w:rPr>
          <w:rFonts w:ascii="Times New Roman" w:hAnsi="Times New Roman"/>
          <w:b/>
          <w:i/>
          <w:color w:val="000000"/>
          <w:sz w:val="22"/>
        </w:rPr>
        <w:t>Specified Transaction</w:t>
      </w:r>
      <w:r>
        <w:rPr>
          <w:rFonts w:ascii="Times New Roman" w:hAnsi="Times New Roman"/>
          <w:color w:val="000000"/>
          <w:sz w:val="20"/>
        </w:rPr>
        <w:t xml:space="preserve">” </w:t>
      </w:r>
      <w:r>
        <w:rPr>
          <w:rFonts w:ascii="Times New Roman" w:hAnsi="Times New Roman"/>
          <w:color w:val="000000"/>
          <w:sz w:val="22"/>
        </w:rPr>
        <w:t>means any (a) Disposition of any product line, business unit, line of business or division of the Borrower or Subsidiary for which historical financial statements are available,</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Permitted Acquisitions, (c) any Investment that results in a Person becoming a Loan Party, (d) proposed incurrence of Indebtedness or making of a Restricted Payment or payment in respect of Indebtedness in respect of which compliance with any financial test or ratio is by the terms of this Agreement required to be calculated on a Pro Forma Basis, (e) cost savings initiative, operating improvement, restructuring or other initiative, action or event, (f) any Borrowing under the Revolving Facility or issuance, amendment or extension of any Letter of Credit, or (g) any other event that by the terms of this Agreement that requires pro forma compliance with a test or covenant hereunder or requires such test or covenant to be calculated on a pro forma basis or giving pro forma effect to any such transaction or event that by the terms of this Agreement requires such test to be calculated on a “Pro Forma Basis” or after giving “Pro Forma Effect”.</w:t>
      </w:r>
    </w:p>
    <w:p>
      <w:pPr>
        <w:pStyle w:val="TextBody"/>
        <w:bidi w:val="0"/>
        <w:spacing w:before="0" w:after="240"/>
        <w:jc w:val="both"/>
        <w:rPr/>
      </w:pPr>
      <w:r>
        <w:rPr>
          <w:color w:val="000000"/>
        </w:rPr>
        <w:t>“</w:t>
      </w:r>
      <w:r>
        <w:rPr>
          <w:rFonts w:ascii="Times New Roman" w:hAnsi="Times New Roman"/>
          <w:b/>
          <w:i/>
          <w:color w:val="000000"/>
          <w:sz w:val="22"/>
        </w:rPr>
        <w:t>Sponsor</w:t>
      </w:r>
      <w:r>
        <w:rPr>
          <w:rFonts w:ascii="Times New Roman" w:hAnsi="Times New Roman"/>
          <w:color w:val="000000"/>
          <w:sz w:val="20"/>
        </w:rPr>
        <w:t xml:space="preserve">” </w:t>
      </w:r>
      <w:r>
        <w:rPr>
          <w:rFonts w:ascii="Times New Roman" w:hAnsi="Times New Roman"/>
          <w:color w:val="000000"/>
          <w:sz w:val="22"/>
        </w:rPr>
        <w:t>means AE Industrial Partners, LP and its Affiliates.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Sponsor Model</w:t>
      </w:r>
      <w:r>
        <w:rPr>
          <w:rFonts w:ascii="Times New Roman" w:hAnsi="Times New Roman"/>
          <w:color w:val="000000"/>
          <w:sz w:val="20"/>
        </w:rPr>
        <w:t xml:space="preserve">” </w:t>
      </w:r>
      <w:r>
        <w:rPr>
          <w:rFonts w:ascii="Times New Roman" w:hAnsi="Times New Roman"/>
          <w:color w:val="000000"/>
          <w:sz w:val="22"/>
        </w:rPr>
        <w:t>means that certain “bank case” projection model delivered by the Sponsor to the Administrative Agent on July 15, 2025 (together with any updates or modifications thereto reasonably agreed between the Sponsor and the Administrative Agent).</w:t>
      </w:r>
    </w:p>
    <w:p>
      <w:pPr>
        <w:pStyle w:val="TextBody"/>
        <w:bidi w:val="0"/>
        <w:spacing w:before="0" w:after="240"/>
        <w:jc w:val="both"/>
        <w:rPr/>
      </w:pPr>
      <w:r>
        <w:rPr>
          <w:color w:val="000000"/>
        </w:rPr>
        <w:t>“</w:t>
      </w:r>
      <w:r>
        <w:rPr>
          <w:rFonts w:ascii="Times New Roman" w:hAnsi="Times New Roman"/>
          <w:b/>
          <w:i/>
          <w:color w:val="000000"/>
          <w:sz w:val="22"/>
        </w:rPr>
        <w:t>Subordinated Indebtedness</w:t>
      </w:r>
      <w:r>
        <w:rPr>
          <w:rFonts w:ascii="Times New Roman" w:hAnsi="Times New Roman"/>
          <w:color w:val="000000"/>
          <w:sz w:val="20"/>
        </w:rPr>
        <w:t xml:space="preserve">” </w:t>
      </w:r>
      <w:r>
        <w:rPr>
          <w:rFonts w:ascii="Times New Roman" w:hAnsi="Times New Roman"/>
          <w:color w:val="000000"/>
          <w:sz w:val="22"/>
        </w:rPr>
        <w:t>means any Indebtedness of the Borrower or any Subsidiary that is expressly subordinated by a written agreement in right of payment to the Obligations .</w:t>
      </w:r>
    </w:p>
    <w:p>
      <w:pPr>
        <w:pStyle w:val="TextBody"/>
        <w:bidi w:val="0"/>
        <w:spacing w:before="0" w:after="240"/>
        <w:jc w:val="both"/>
        <w:rPr/>
      </w:pPr>
      <w:r>
        <w:rPr>
          <w:color w:val="000000"/>
        </w:rPr>
        <w:t>“</w:t>
      </w:r>
      <w:r>
        <w:rPr>
          <w:rFonts w:ascii="Times New Roman" w:hAnsi="Times New Roman"/>
          <w:b/>
          <w:i/>
          <w:color w:val="000000"/>
          <w:sz w:val="22"/>
        </w:rPr>
        <w:t>subsidiary</w:t>
      </w:r>
      <w:r>
        <w:rPr>
          <w:rFonts w:ascii="Times New Roman" w:hAnsi="Times New Roman"/>
          <w:color w:val="000000"/>
          <w:sz w:val="20"/>
        </w:rPr>
        <w:t xml:space="preserve">” </w:t>
      </w:r>
      <w:r>
        <w:rPr>
          <w:rFonts w:ascii="Times New Roman" w:hAnsi="Times New Roman"/>
          <w:color w:val="000000"/>
          <w:sz w:val="22"/>
        </w:rPr>
        <w:t>means, with respect to any Person (the “</w:t>
      </w:r>
      <w:r>
        <w:rPr>
          <w:rFonts w:ascii="Times New Roman" w:hAnsi="Times New Roman"/>
          <w:b/>
          <w:i/>
          <w:color w:val="000000"/>
          <w:sz w:val="22"/>
        </w:rPr>
        <w:t>parent</w:t>
      </w:r>
      <w:r>
        <w:rPr>
          <w:rFonts w:ascii="Times New Roman" w:hAnsi="Times New Roman"/>
          <w:color w:val="000000"/>
          <w:sz w:val="20"/>
        </w:rPr>
        <w:t>”</w:t>
      </w:r>
      <w:r>
        <w:rPr>
          <w:rFonts w:ascii="Times New Roman" w:hAnsi="Times New Roman"/>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pStyle w:val="TextBody"/>
        <w:bidi w:val="0"/>
        <w:spacing w:before="0" w:after="240"/>
        <w:jc w:val="both"/>
        <w:rPr/>
      </w:pPr>
      <w:r>
        <w:rPr>
          <w:color w:val="000000"/>
        </w:rPr>
        <w:t>“</w:t>
      </w:r>
      <w:r>
        <w:rPr>
          <w:rFonts w:ascii="Times New Roman" w:hAnsi="Times New Roman"/>
          <w:b/>
          <w:i/>
          <w:color w:val="000000"/>
          <w:sz w:val="22"/>
        </w:rPr>
        <w:t>Subsidiary</w:t>
      </w:r>
      <w:r>
        <w:rPr>
          <w:rFonts w:ascii="Times New Roman" w:hAnsi="Times New Roman"/>
          <w:color w:val="000000"/>
          <w:sz w:val="20"/>
        </w:rPr>
        <w:t xml:space="preserve">” </w:t>
      </w:r>
      <w:r>
        <w:rPr>
          <w:rFonts w:ascii="Times New Roman" w:hAnsi="Times New Roman"/>
          <w:color w:val="000000"/>
          <w:sz w:val="22"/>
        </w:rPr>
        <w:t>means any direct or indirect subsidiary of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Supported QFC</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9.21(a)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Swap Agreement</w:t>
      </w:r>
      <w:r>
        <w:rPr>
          <w:rFonts w:ascii="Times New Roman" w:hAnsi="Times New Roman"/>
          <w:color w:val="000000"/>
          <w:sz w:val="20"/>
        </w:rPr>
        <w:t xml:space="preserve">” </w:t>
      </w:r>
      <w:r>
        <w:rPr>
          <w:rFonts w:ascii="Times New Roman" w:hAnsi="Times New Roman"/>
          <w:color w:val="000000"/>
          <w:sz w:val="22"/>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i/>
          <w:color w:val="000000"/>
          <w:sz w:val="22"/>
        </w:rPr>
        <w:t xml:space="preserve">provided </w:t>
      </w:r>
      <w:r>
        <w:rPr>
          <w:rFonts w:ascii="Times New Roman" w:hAnsi="Times New Roman"/>
          <w:color w:val="000000"/>
          <w:sz w:val="22"/>
        </w:rPr>
        <w:t>that no phantom stock or similar plan providing for payments only on account of services provided by current or former directors, officers, employees or consultants of the Borrower or its Subsidiaries shall be a Swap Agreement.</w:t>
      </w:r>
    </w:p>
    <w:p>
      <w:pPr>
        <w:pStyle w:val="TextBody"/>
        <w:bidi w:val="0"/>
        <w:spacing w:before="0" w:after="240"/>
        <w:jc w:val="both"/>
        <w:rPr/>
      </w:pPr>
      <w:r>
        <w:rPr>
          <w:color w:val="000000"/>
        </w:rPr>
        <w:t>“</w:t>
      </w:r>
      <w:r>
        <w:rPr>
          <w:rFonts w:ascii="Times New Roman" w:hAnsi="Times New Roman"/>
          <w:b/>
          <w:i/>
          <w:color w:val="000000"/>
          <w:sz w:val="22"/>
        </w:rPr>
        <w:t>Swap Agreement Obligations</w:t>
      </w:r>
      <w:r>
        <w:rPr>
          <w:rFonts w:ascii="Times New Roman" w:hAnsi="Times New Roman"/>
          <w:color w:val="000000"/>
          <w:sz w:val="20"/>
        </w:rPr>
        <w:t xml:space="preserve">” </w:t>
      </w:r>
      <w:r>
        <w:rPr>
          <w:rFonts w:ascii="Times New Roman" w:hAnsi="Times New Roman"/>
          <w:color w:val="000000"/>
          <w:sz w:val="22"/>
        </w:rPr>
        <w:t>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w:t>
      </w:r>
    </w:p>
    <w:p>
      <w:pPr>
        <w:pStyle w:val="TextBody"/>
        <w:bidi w:val="0"/>
        <w:spacing w:before="0" w:after="240"/>
        <w:jc w:val="both"/>
        <w:rPr/>
      </w:pPr>
      <w:r>
        <w:rPr>
          <w:color w:val="000000"/>
        </w:rPr>
        <w:t>“</w:t>
      </w:r>
      <w:r>
        <w:rPr>
          <w:rFonts w:ascii="Times New Roman" w:hAnsi="Times New Roman"/>
          <w:b/>
          <w:i/>
          <w:color w:val="000000"/>
          <w:sz w:val="22"/>
        </w:rPr>
        <w:t>Swap Obligation</w:t>
      </w:r>
      <w:r>
        <w:rPr>
          <w:rFonts w:ascii="Times New Roman" w:hAnsi="Times New Roman"/>
          <w:color w:val="000000"/>
          <w:sz w:val="20"/>
        </w:rPr>
        <w:t xml:space="preserve">” </w:t>
      </w:r>
      <w:r>
        <w:rPr>
          <w:rFonts w:ascii="Times New Roman" w:hAnsi="Times New Roman"/>
          <w:color w:val="000000"/>
          <w:sz w:val="22"/>
        </w:rPr>
        <w:t>means, with respect to any Guarantor, any obligation to pay or perform under any agreement, contract or transaction that constitutes a “swap” within the meaning of section 1a(47) of the Commodity Exchange Act or any rules or regulations promulgated thereunder.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Swingline Borrowing</w:t>
      </w:r>
      <w:r>
        <w:rPr>
          <w:rFonts w:ascii="Times New Roman" w:hAnsi="Times New Roman"/>
          <w:color w:val="000000"/>
          <w:sz w:val="20"/>
        </w:rPr>
        <w:t xml:space="preserve">” </w:t>
      </w:r>
      <w:r>
        <w:rPr>
          <w:rFonts w:ascii="Times New Roman" w:hAnsi="Times New Roman"/>
          <w:color w:val="000000"/>
          <w:sz w:val="22"/>
        </w:rPr>
        <w:t>means a borrowing of a Swingline Loan.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Swingline Commitment</w:t>
      </w:r>
      <w:r>
        <w:rPr>
          <w:rFonts w:ascii="Times New Roman" w:hAnsi="Times New Roman"/>
          <w:color w:val="000000"/>
          <w:sz w:val="20"/>
        </w:rPr>
        <w:t xml:space="preserve">” </w:t>
      </w:r>
      <w:r>
        <w:rPr>
          <w:rFonts w:ascii="Times New Roman" w:hAnsi="Times New Roman"/>
          <w:color w:val="000000"/>
          <w:sz w:val="22"/>
        </w:rPr>
        <w:t>means $7,500,000.</w:t>
      </w:r>
    </w:p>
    <w:p>
      <w:pPr>
        <w:pStyle w:val="TextBody"/>
        <w:bidi w:val="0"/>
        <w:spacing w:before="0" w:after="240"/>
        <w:jc w:val="both"/>
        <w:rPr/>
      </w:pPr>
      <w:r>
        <w:rPr>
          <w:color w:val="000000"/>
        </w:rPr>
        <w:t>“</w:t>
      </w:r>
      <w:r>
        <w:rPr>
          <w:rFonts w:ascii="Times New Roman" w:hAnsi="Times New Roman"/>
          <w:b/>
          <w:i/>
          <w:color w:val="000000"/>
          <w:sz w:val="22"/>
        </w:rPr>
        <w:t>Swingline Exposure</w:t>
      </w:r>
      <w:r>
        <w:rPr>
          <w:rFonts w:ascii="Times New Roman" w:hAnsi="Times New Roman"/>
          <w:color w:val="000000"/>
          <w:sz w:val="20"/>
        </w:rPr>
        <w:t xml:space="preserve">” </w:t>
      </w:r>
      <w:r>
        <w:rPr>
          <w:rFonts w:ascii="Times New Roman" w:hAnsi="Times New Roman"/>
          <w:color w:val="000000"/>
          <w:sz w:val="22"/>
        </w:rPr>
        <w:t>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the Swingline Lender, Swingline Loans made by it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the Swingline Lender, the aggregate principal amount of all Swingline Loans made by the Swingline Lender outstanding at such time, less the amount of participations funded by the other Lenders in such Swingline Loans.</w:t>
      </w:r>
    </w:p>
    <w:p>
      <w:pPr>
        <w:pStyle w:val="TextBody"/>
        <w:bidi w:val="0"/>
        <w:spacing w:before="0" w:after="240"/>
        <w:jc w:val="both"/>
        <w:rPr/>
      </w:pPr>
      <w:r>
        <w:rPr>
          <w:color w:val="000000"/>
        </w:rPr>
        <w:t>“</w:t>
      </w:r>
      <w:r>
        <w:rPr>
          <w:rFonts w:ascii="Times New Roman" w:hAnsi="Times New Roman"/>
          <w:b/>
          <w:i/>
          <w:color w:val="000000"/>
          <w:sz w:val="22"/>
        </w:rPr>
        <w:t>Swingline Lender</w:t>
      </w:r>
      <w:r>
        <w:rPr>
          <w:rFonts w:ascii="Times New Roman" w:hAnsi="Times New Roman"/>
          <w:color w:val="000000"/>
          <w:sz w:val="20"/>
        </w:rPr>
        <w:t xml:space="preserve">” </w:t>
      </w:r>
      <w:r>
        <w:rPr>
          <w:rFonts w:ascii="Times New Roman" w:hAnsi="Times New Roman"/>
          <w:color w:val="000000"/>
          <w:sz w:val="22"/>
        </w:rPr>
        <w:t>means Wells Fargo (or any of its designated branch offices or affiliates), in its capacity as a lender of Swingline Loans hereunder.</w:t>
      </w:r>
    </w:p>
    <w:p>
      <w:pPr>
        <w:pStyle w:val="TextBody"/>
        <w:bidi w:val="0"/>
        <w:spacing w:before="0" w:after="240"/>
        <w:jc w:val="both"/>
        <w:rPr/>
      </w:pPr>
      <w:r>
        <w:rPr>
          <w:color w:val="000000"/>
        </w:rPr>
        <w:t>“</w:t>
      </w:r>
      <w:r>
        <w:rPr>
          <w:rFonts w:ascii="Times New Roman" w:hAnsi="Times New Roman"/>
          <w:b/>
          <w:i/>
          <w:color w:val="000000"/>
          <w:sz w:val="22"/>
        </w:rPr>
        <w:t>Swingline Loan</w:t>
      </w:r>
      <w:r>
        <w:rPr>
          <w:rFonts w:ascii="Times New Roman" w:hAnsi="Times New Roman"/>
          <w:color w:val="000000"/>
          <w:sz w:val="20"/>
        </w:rPr>
        <w:t xml:space="preserve">” </w:t>
      </w:r>
      <w:r>
        <w:rPr>
          <w:rFonts w:ascii="Times New Roman" w:hAnsi="Times New Roman"/>
          <w:color w:val="000000"/>
          <w:sz w:val="22"/>
        </w:rPr>
        <w:t xml:space="preserve">means a Loan made pursuant to </w:t>
      </w:r>
      <w:r>
        <w:rPr>
          <w:rFonts w:ascii="Times New Roman" w:hAnsi="Times New Roman"/>
          <w:color w:val="000000"/>
          <w:sz w:val="22"/>
          <w:u w:val="single"/>
        </w:rPr>
        <w:t>Section 2.05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Tax Distribution</w:t>
      </w:r>
      <w:r>
        <w:rPr>
          <w:rFonts w:ascii="Times New Roman" w:hAnsi="Times New Roman"/>
          <w:color w:val="000000"/>
          <w:sz w:val="20"/>
        </w:rPr>
        <w:t xml:space="preserve">” </w:t>
      </w:r>
      <w:r>
        <w:rPr>
          <w:rFonts w:ascii="Times New Roman" w:hAnsi="Times New Roman"/>
          <w:color w:val="000000"/>
          <w:sz w:val="22"/>
        </w:rPr>
        <w:t>means (i) for any taxable period ending after the Effective Date for which the Borrower and/or any of its Subsidiaries is a member of a consolidated, combined or similar income Tax group for U.S. federal and/or applicable state or local income Tax purposes of which a direct or indirect parent of the Borrower is the common parent (“</w:t>
      </w:r>
      <w:r>
        <w:rPr>
          <w:rFonts w:ascii="Times New Roman" w:hAnsi="Times New Roman"/>
          <w:b/>
          <w:i/>
          <w:color w:val="000000"/>
          <w:sz w:val="22"/>
        </w:rPr>
        <w:t>Tax Group</w:t>
      </w:r>
      <w:r>
        <w:rPr>
          <w:rFonts w:ascii="Times New Roman" w:hAnsi="Times New Roman"/>
          <w:color w:val="000000"/>
          <w:sz w:val="20"/>
        </w:rPr>
        <w:t>”</w:t>
      </w:r>
      <w:r>
        <w:rPr>
          <w:rFonts w:ascii="Times New Roman" w:hAnsi="Times New Roman"/>
          <w:color w:val="000000"/>
          <w:sz w:val="22"/>
        </w:rPr>
        <w:t>), or for which the Borrower is disregarded as an entity separate from a corporate parent (“Corporate Parent”) any distribution made to such common parent to permit such common parent to pay such consolidated, combined or similar income Taxes of such Tax Group, or to the Corporate Parent to pay (or further distribute to allow its direct or indirect corporate parent to pay) such income Taxes of such Corporate Parent (or its direct or indirect corporate parent), that are attributable to the taxable income of the Borrower and/or its applicable Subsidiaries, as applicable; provided that with respect to each such taxable period, the amount of such distributions made in respect of such taxable period shall not exceed the amount that the Borrower and/or its applicable Subsidiaries, as applicable, would have been required to pay if the Borrower and/or such Subsidiaries had been a stand-alone corporation or stand-alone corporate Tax Group for all taxable periods ending after the Effective Date, and (ii) any distribution to pay any administrative, overhead and related expenses (including franchise Taxes) of any direct or indirect parent company of the Borrower to the extent required to maintain such parent company’s legal existence.</w:t>
      </w:r>
    </w:p>
    <w:p>
      <w:pPr>
        <w:pStyle w:val="TextBody"/>
        <w:bidi w:val="0"/>
        <w:spacing w:before="0" w:after="240"/>
        <w:jc w:val="both"/>
        <w:rPr/>
      </w:pPr>
      <w:r>
        <w:rPr>
          <w:color w:val="000000"/>
        </w:rPr>
        <w:t>“</w:t>
      </w:r>
      <w:r>
        <w:rPr>
          <w:rFonts w:ascii="Times New Roman" w:hAnsi="Times New Roman"/>
          <w:b/>
          <w:i/>
          <w:color w:val="000000"/>
          <w:sz w:val="22"/>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b/>
          <w:i/>
          <w:color w:val="000000"/>
          <w:sz w:val="22"/>
        </w:rPr>
        <w:t>Term Benchmark</w:t>
      </w:r>
      <w:r>
        <w:rPr>
          <w:rFonts w:ascii="Times New Roman" w:hAnsi="Times New Roman"/>
          <w:color w:val="000000"/>
          <w:sz w:val="20"/>
        </w:rPr>
        <w:t xml:space="preserve">” </w:t>
      </w:r>
      <w:r>
        <w:rPr>
          <w:rFonts w:ascii="Times New Roman" w:hAnsi="Times New Roman"/>
          <w:color w:val="000000"/>
          <w:sz w:val="22"/>
        </w:rPr>
        <w:t>when used in reference to any Loan or Borrowing, refers to whether such Loan, or the Loans comprising such Borrowing, are bearing interest at a rate determined by reference to the Adjusted Term SOFR Rate.</w:t>
      </w:r>
    </w:p>
    <w:p>
      <w:pPr>
        <w:pStyle w:val="TextBody"/>
        <w:bidi w:val="0"/>
        <w:spacing w:before="0" w:after="240"/>
        <w:jc w:val="both"/>
        <w:rPr/>
      </w:pPr>
      <w:r>
        <w:rPr>
          <w:color w:val="000000"/>
        </w:rPr>
        <w:t>“</w:t>
      </w:r>
      <w:r>
        <w:rPr>
          <w:rFonts w:ascii="Times New Roman" w:hAnsi="Times New Roman"/>
          <w:b/>
          <w:i/>
          <w:color w:val="000000"/>
          <w:sz w:val="22"/>
        </w:rPr>
        <w:t>Term Benchmark Borrowing</w:t>
      </w:r>
      <w:r>
        <w:rPr>
          <w:rFonts w:ascii="Times New Roman" w:hAnsi="Times New Roman"/>
          <w:color w:val="000000"/>
          <w:sz w:val="20"/>
        </w:rPr>
        <w:t xml:space="preserve">” </w:t>
      </w:r>
      <w:r>
        <w:rPr>
          <w:rFonts w:ascii="Times New Roman" w:hAnsi="Times New Roman"/>
          <w:color w:val="000000"/>
          <w:sz w:val="22"/>
        </w:rPr>
        <w:t xml:space="preserve">has the meaning given in </w:t>
      </w:r>
      <w:r>
        <w:rPr>
          <w:rFonts w:ascii="Times New Roman" w:hAnsi="Times New Roman"/>
          <w:color w:val="000000"/>
          <w:sz w:val="22"/>
          <w:u w:val="single"/>
        </w:rPr>
        <w:t>Section 1.02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Term Benchmark Loan</w:t>
      </w:r>
      <w:r>
        <w:rPr>
          <w:rFonts w:ascii="Times New Roman" w:hAnsi="Times New Roman"/>
          <w:color w:val="000000"/>
          <w:sz w:val="20"/>
        </w:rPr>
        <w:t xml:space="preserve">” </w:t>
      </w:r>
      <w:r>
        <w:rPr>
          <w:rFonts w:ascii="Times New Roman" w:hAnsi="Times New Roman"/>
          <w:color w:val="000000"/>
          <w:sz w:val="22"/>
        </w:rPr>
        <w:t xml:space="preserve">has the meaning given in </w:t>
      </w:r>
      <w:r>
        <w:rPr>
          <w:rFonts w:ascii="Times New Roman" w:hAnsi="Times New Roman"/>
          <w:color w:val="000000"/>
          <w:sz w:val="22"/>
          <w:u w:val="single"/>
        </w:rPr>
        <w:t>Section 1.02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Term SOFR Determination Day</w:t>
      </w:r>
      <w:r>
        <w:rPr>
          <w:rFonts w:ascii="Times New Roman" w:hAnsi="Times New Roman"/>
          <w:color w:val="000000"/>
          <w:sz w:val="20"/>
        </w:rPr>
        <w:t xml:space="preserve">” </w:t>
      </w:r>
      <w:r>
        <w:rPr>
          <w:rFonts w:ascii="Times New Roman" w:hAnsi="Times New Roman"/>
          <w:color w:val="000000"/>
          <w:sz w:val="22"/>
        </w:rPr>
        <w:t>has the meaning assigned to it under the definition of Term SOFR Reference Rate.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 xml:space="preserve">Term SOFR Rate” </w:t>
      </w:r>
      <w:r>
        <w:rPr>
          <w:rFonts w:ascii="Times New Roman" w:hAnsi="Times New Roman"/>
          <w:color w:val="000000"/>
          <w:sz w:val="22"/>
        </w:rPr>
        <w:t>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240"/>
        <w:jc w:val="both"/>
        <w:rPr/>
      </w:pPr>
      <w:r>
        <w:rPr>
          <w:color w:val="000000"/>
        </w:rPr>
        <w:t>“</w:t>
      </w:r>
      <w:r>
        <w:rPr>
          <w:rFonts w:ascii="Times New Roman" w:hAnsi="Times New Roman"/>
          <w:b/>
          <w:i/>
          <w:color w:val="000000"/>
          <w:sz w:val="22"/>
        </w:rPr>
        <w:t>Term SOFR Reference Rate</w:t>
      </w:r>
      <w:r>
        <w:rPr>
          <w:rFonts w:ascii="Times New Roman" w:hAnsi="Times New Roman"/>
          <w:color w:val="000000"/>
          <w:sz w:val="20"/>
        </w:rPr>
        <w:t xml:space="preserve">” </w:t>
      </w:r>
      <w:r>
        <w:rPr>
          <w:rFonts w:ascii="Times New Roman" w:hAnsi="Times New Roman"/>
          <w:color w:val="000000"/>
          <w:sz w:val="22"/>
        </w:rPr>
        <w:t>means, for any day and time (such day, the “</w:t>
      </w:r>
      <w:r>
        <w:rPr>
          <w:rFonts w:ascii="Times New Roman" w:hAnsi="Times New Roman"/>
          <w:b/>
          <w:i/>
          <w:color w:val="000000"/>
          <w:sz w:val="22"/>
        </w:rPr>
        <w:t>Term SOFR Determination Day</w:t>
      </w:r>
      <w:r>
        <w:rPr>
          <w:rFonts w:ascii="Times New Roman" w:hAnsi="Times New Roman"/>
          <w:color w:val="000000"/>
          <w:sz w:val="20"/>
        </w:rPr>
        <w:t>”</w:t>
      </w:r>
      <w:r>
        <w:rPr>
          <w:rFonts w:ascii="Times New Roman" w:hAnsi="Times New Roman"/>
          <w:color w:val="000000"/>
          <w:sz w:val="22"/>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w:t>
      </w:r>
      <w:r>
        <w:rPr>
          <w:rFonts w:ascii="Times New Roman" w:hAnsi="Times New Roman"/>
          <w:b/>
          <w:i/>
          <w:color w:val="000000"/>
          <w:sz w:val="22"/>
        </w:rPr>
        <w:t>Term SOFR Reference Rate</w:t>
      </w:r>
      <w:r>
        <w:rPr>
          <w:rFonts w:ascii="Times New Roman" w:hAnsi="Times New Roman"/>
          <w:color w:val="000000"/>
          <w:sz w:val="20"/>
        </w:rPr>
        <w:t xml:space="preserve">” </w:t>
      </w:r>
      <w:r>
        <w:rPr>
          <w:rFonts w:ascii="Times New Roman" w:hAnsi="Times New Roman"/>
          <w:color w:val="000000"/>
          <w:sz w:val="22"/>
        </w:rPr>
        <w:t>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240"/>
        <w:jc w:val="both"/>
        <w:rPr/>
      </w:pPr>
      <w:r>
        <w:rPr>
          <w:color w:val="000000"/>
        </w:rPr>
        <w:t>“</w:t>
      </w:r>
      <w:r>
        <w:rPr>
          <w:rFonts w:ascii="Times New Roman" w:hAnsi="Times New Roman"/>
          <w:b/>
          <w:i/>
          <w:color w:val="000000"/>
          <w:sz w:val="22"/>
        </w:rPr>
        <w:t>Test Period</w:t>
      </w:r>
      <w:r>
        <w:rPr>
          <w:rFonts w:ascii="Times New Roman" w:hAnsi="Times New Roman"/>
          <w:color w:val="000000"/>
          <w:sz w:val="20"/>
        </w:rPr>
        <w:t xml:space="preserve">” </w:t>
      </w:r>
      <w:r>
        <w:rPr>
          <w:rFonts w:ascii="Times New Roman" w:hAnsi="Times New Roman"/>
          <w:color w:val="000000"/>
          <w:sz w:val="22"/>
        </w:rPr>
        <w:t xml:space="preserve">shall mean, for any date of determination under this Agreement, the four consecutive fiscal quarters of the Borrower most recently ended on or prior to such date of determination and for which financial statements shall have been delivered (or were required to be delivered) under </w:t>
      </w:r>
      <w:r>
        <w:rPr>
          <w:rFonts w:ascii="Times New Roman" w:hAnsi="Times New Roman"/>
          <w:color w:val="000000"/>
          <w:sz w:val="22"/>
          <w:u w:val="single"/>
        </w:rPr>
        <w:t>Section 5.01</w:t>
      </w:r>
      <w:r>
        <w:rPr>
          <w:rFonts w:ascii="Times New Roman" w:hAnsi="Times New Roman"/>
          <w:color w:val="000000"/>
          <w:sz w:val="20"/>
        </w:rPr>
        <w:t xml:space="preserve"> </w:t>
      </w:r>
      <w:r>
        <w:rPr>
          <w:rFonts w:ascii="Times New Roman" w:hAnsi="Times New Roman"/>
          <w:color w:val="000000"/>
          <w:sz w:val="22"/>
        </w:rPr>
        <w:t>to the Administrative Agent (or, before the first delivery of such financial statements, the most recent period of four fiscal quarters at the end of which financial statements are available).</w:t>
      </w:r>
    </w:p>
    <w:p>
      <w:pPr>
        <w:pStyle w:val="TextBody"/>
        <w:bidi w:val="0"/>
        <w:spacing w:before="0" w:after="240"/>
        <w:jc w:val="both"/>
        <w:rPr/>
      </w:pPr>
      <w:r>
        <w:rPr>
          <w:color w:val="000000"/>
        </w:rPr>
        <w:t>“</w:t>
      </w:r>
      <w:r>
        <w:rPr>
          <w:rFonts w:ascii="Times New Roman" w:hAnsi="Times New Roman"/>
          <w:b/>
          <w:i/>
          <w:color w:val="000000"/>
          <w:sz w:val="22"/>
        </w:rPr>
        <w:t>Threshold Amount</w:t>
      </w:r>
      <w:r>
        <w:rPr>
          <w:rFonts w:ascii="Times New Roman" w:hAnsi="Times New Roman"/>
          <w:color w:val="000000"/>
          <w:sz w:val="20"/>
        </w:rPr>
        <w:t xml:space="preserve">” </w:t>
      </w:r>
      <w:r>
        <w:rPr>
          <w:rFonts w:ascii="Times New Roman" w:hAnsi="Times New Roman"/>
          <w:color w:val="000000"/>
          <w:sz w:val="22"/>
        </w:rPr>
        <w:t>means $10,000,000.</w:t>
      </w:r>
    </w:p>
    <w:p>
      <w:pPr>
        <w:pStyle w:val="TextBody"/>
        <w:bidi w:val="0"/>
        <w:spacing w:before="0" w:after="240"/>
        <w:jc w:val="both"/>
        <w:rPr/>
      </w:pPr>
      <w:r>
        <w:rPr>
          <w:color w:val="000000"/>
        </w:rPr>
        <w:t>“</w:t>
      </w:r>
      <w:r>
        <w:rPr>
          <w:rFonts w:ascii="Times New Roman" w:hAnsi="Times New Roman"/>
          <w:b/>
          <w:i/>
          <w:color w:val="000000"/>
          <w:sz w:val="22"/>
        </w:rPr>
        <w:t>Transactions</w:t>
      </w:r>
      <w:r>
        <w:rPr>
          <w:rFonts w:ascii="Times New Roman" w:hAnsi="Times New Roman"/>
          <w:color w:val="000000"/>
          <w:sz w:val="20"/>
        </w:rPr>
        <w:t xml:space="preserve">” </w:t>
      </w:r>
      <w:r>
        <w:rPr>
          <w:rFonts w:ascii="Times New Roman" w:hAnsi="Times New Roman"/>
          <w:color w:val="000000"/>
          <w:sz w:val="22"/>
        </w:rPr>
        <w:t>means the execution, delivery and performance by each Loan Party of each Loan Document to which it is a party, the borrowing of Loans, the use of the proceeds of the Loans hereunder and the issuance of Letters of Credit hereunder on the Effective Date and the consummation of the IPO.</w:t>
      </w:r>
    </w:p>
    <w:p>
      <w:pPr>
        <w:pStyle w:val="TextBody"/>
        <w:bidi w:val="0"/>
        <w:spacing w:before="0" w:after="240"/>
        <w:jc w:val="both"/>
        <w:rPr/>
      </w:pPr>
      <w:r>
        <w:rPr>
          <w:color w:val="000000"/>
        </w:rPr>
        <w:t>“</w:t>
      </w:r>
      <w:r>
        <w:rPr>
          <w:rFonts w:ascii="Times New Roman" w:hAnsi="Times New Roman"/>
          <w:b/>
          <w:i/>
          <w:color w:val="000000"/>
          <w:sz w:val="22"/>
        </w:rPr>
        <w:t>Type</w:t>
      </w:r>
      <w:r>
        <w:rPr>
          <w:rFonts w:ascii="Times New Roman" w:hAnsi="Times New Roman"/>
          <w:color w:val="000000"/>
          <w:sz w:val="20"/>
        </w:rPr>
        <w:t>”</w:t>
      </w:r>
      <w:r>
        <w:rPr>
          <w:rFonts w:ascii="Times New Roman" w:hAnsi="Times New Roman"/>
          <w:color w:val="000000"/>
          <w:sz w:val="22"/>
        </w:rPr>
        <w:t>, when used in reference to any Loan or Borrowing, refers to whether the rate of interest on such Loan, or on the Loans comprising such Borrowing, is determined by reference to the Adjusted Term SOFR Rate, the Adjusted Daily Simple SOFR or the Alternate Base Rate.</w:t>
      </w:r>
    </w:p>
    <w:p>
      <w:pPr>
        <w:pStyle w:val="TextBody"/>
        <w:bidi w:val="0"/>
        <w:spacing w:before="0" w:after="240"/>
        <w:jc w:val="both"/>
        <w:rPr/>
      </w:pPr>
      <w:r>
        <w:rPr>
          <w:color w:val="000000"/>
        </w:rPr>
        <w:t>“</w:t>
      </w:r>
      <w:r>
        <w:rPr>
          <w:rFonts w:ascii="Times New Roman" w:hAnsi="Times New Roman"/>
          <w:b/>
          <w:i/>
          <w:color w:val="000000"/>
          <w:sz w:val="22"/>
        </w:rPr>
        <w:t>UCC</w:t>
      </w:r>
      <w:r>
        <w:rPr>
          <w:rFonts w:ascii="Times New Roman" w:hAnsi="Times New Roman"/>
          <w:color w:val="000000"/>
          <w:sz w:val="20"/>
        </w:rPr>
        <w:t xml:space="preserve">” </w:t>
      </w:r>
      <w:r>
        <w:rPr>
          <w:rFonts w:ascii="Times New Roman" w:hAnsi="Times New Roman"/>
          <w:color w:val="000000"/>
          <w:sz w:val="22"/>
        </w:rPr>
        <w:t>means the Uniform Commercial Code as in effect from time to time in the State of New York or in any other state, the laws of which are required to be applied in connection with the issue of perfection of security interests.</w:t>
      </w:r>
    </w:p>
    <w:p>
      <w:pPr>
        <w:pStyle w:val="TextBody"/>
        <w:bidi w:val="0"/>
        <w:spacing w:before="0" w:after="240"/>
        <w:jc w:val="both"/>
        <w:rPr/>
      </w:pPr>
      <w:r>
        <w:rPr>
          <w:color w:val="000000"/>
        </w:rPr>
        <w:t>“</w:t>
      </w:r>
      <w:r>
        <w:rPr>
          <w:rFonts w:ascii="Times New Roman" w:hAnsi="Times New Roman"/>
          <w:b/>
          <w:i/>
          <w:color w:val="000000"/>
          <w:sz w:val="22"/>
        </w:rPr>
        <w:t>UK Financial Institutions</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b/>
          <w:i/>
          <w:color w:val="000000"/>
          <w:sz w:val="22"/>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b/>
          <w:i/>
          <w:color w:val="000000"/>
          <w:sz w:val="22"/>
        </w:rPr>
        <w:t>Unadjusted Benchmark Replacement</w:t>
      </w:r>
      <w:r>
        <w:rPr>
          <w:rFonts w:ascii="Times New Roman" w:hAnsi="Times New Roman"/>
          <w:color w:val="000000"/>
          <w:sz w:val="20"/>
        </w:rPr>
        <w:t xml:space="preserve">” </w:t>
      </w:r>
      <w:r>
        <w:rPr>
          <w:rFonts w:ascii="Times New Roman" w:hAnsi="Times New Roman"/>
          <w:color w:val="000000"/>
          <w:sz w:val="22"/>
        </w:rPr>
        <w:t>means the applicable Benchmark Replacement excluding the related Benchmark Replacement Adjustment.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2"/>
        </w:rPr>
        <w:t>Unfinanced Capital Expenditures</w:t>
      </w:r>
      <w:r>
        <w:rPr>
          <w:rFonts w:ascii="Times New Roman" w:hAnsi="Times New Roman"/>
          <w:color w:val="000000"/>
          <w:sz w:val="20"/>
        </w:rPr>
        <w:t xml:space="preserve">” </w:t>
      </w:r>
      <w:r>
        <w:rPr>
          <w:rFonts w:ascii="Times New Roman" w:hAnsi="Times New Roman"/>
          <w:color w:val="000000"/>
          <w:sz w:val="22"/>
        </w:rPr>
        <w:t>means capital expenditures not financed with the proceeds of (i) any Capital Lease Obligations, (ii) any incurrence of long term Indebtedness permitted under Section 6.01 (excluding the Loans), (iii) any offering of Qualified Equity Interests after the Effective Date, or (iv) insurance or condemnation proceeds (it being agreed that any capital expenditures constituting a Permitted Acquisitions (or other permitted Investment) shall not constitute Unfinanced Capital Expenditures).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Unfunded Commitment</w:t>
      </w:r>
      <w:r>
        <w:rPr>
          <w:rFonts w:ascii="Times New Roman" w:hAnsi="Times New Roman"/>
          <w:color w:val="000000"/>
          <w:sz w:val="20"/>
        </w:rPr>
        <w:t xml:space="preserve">” </w:t>
      </w:r>
      <w:r>
        <w:rPr>
          <w:rFonts w:ascii="Times New Roman" w:hAnsi="Times New Roman"/>
          <w:color w:val="000000"/>
          <w:sz w:val="22"/>
        </w:rPr>
        <w:t>means, with respect to each Lender, the Commitment of such Lender less its Credit Exposure.</w:t>
      </w:r>
    </w:p>
    <w:p>
      <w:pPr>
        <w:pStyle w:val="TextBody"/>
        <w:bidi w:val="0"/>
        <w:spacing w:before="0" w:after="240"/>
        <w:jc w:val="both"/>
        <w:rPr/>
      </w:pPr>
      <w:r>
        <w:rPr>
          <w:color w:val="000000"/>
        </w:rPr>
        <w:t>“</w:t>
      </w:r>
      <w:r>
        <w:rPr>
          <w:rFonts w:ascii="Times New Roman" w:hAnsi="Times New Roman"/>
          <w:b/>
          <w:i/>
          <w:color w:val="000000"/>
          <w:sz w:val="22"/>
        </w:rPr>
        <w:t>Unliquidated Obligations</w:t>
      </w:r>
      <w:r>
        <w:rPr>
          <w:rFonts w:ascii="Times New Roman" w:hAnsi="Times New Roman"/>
          <w:color w:val="000000"/>
          <w:sz w:val="20"/>
        </w:rPr>
        <w:t xml:space="preserve">” </w:t>
      </w:r>
      <w:r>
        <w:rPr>
          <w:rFonts w:ascii="Times New Roman" w:hAnsi="Times New Roman"/>
          <w:color w:val="000000"/>
          <w:sz w:val="22"/>
        </w:rPr>
        <w:t>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pStyle w:val="TextBody"/>
        <w:bidi w:val="0"/>
        <w:spacing w:before="0" w:after="240"/>
        <w:jc w:val="both"/>
        <w:rPr/>
      </w:pPr>
      <w:r>
        <w:rPr>
          <w:color w:val="000000"/>
        </w:rPr>
        <w:t>“</w:t>
      </w:r>
      <w:r>
        <w:rPr>
          <w:rFonts w:ascii="Times New Roman" w:hAnsi="Times New Roman"/>
          <w:b/>
          <w:i/>
          <w:color w:val="000000"/>
          <w:sz w:val="22"/>
        </w:rPr>
        <w:t>Unrestricted Cash</w:t>
      </w:r>
      <w:r>
        <w:rPr>
          <w:rFonts w:ascii="Times New Roman" w:hAnsi="Times New Roman"/>
          <w:color w:val="000000"/>
          <w:sz w:val="20"/>
        </w:rPr>
        <w:t xml:space="preserve">” </w:t>
      </w:r>
      <w:r>
        <w:rPr>
          <w:rFonts w:ascii="Times New Roman" w:hAnsi="Times New Roman"/>
          <w:color w:val="000000"/>
          <w:sz w:val="22"/>
        </w:rPr>
        <w:t>means, as to any Person on any date of determination, the amount of unrestricted cash and Permitted Investments held in accounts of the Borrower and its Subsidiaries that are not subject to any Lien other than any Permitted Lien (for the avoidance of doubt, such cash and Permitted Investments subject to a Permitted Lien shall not be “restricted”).</w:t>
      </w:r>
    </w:p>
    <w:p>
      <w:pPr>
        <w:pStyle w:val="TextBody"/>
        <w:bidi w:val="0"/>
        <w:spacing w:before="0" w:after="240"/>
        <w:jc w:val="both"/>
        <w:rPr/>
      </w:pPr>
      <w:r>
        <w:rPr>
          <w:color w:val="000000"/>
        </w:rPr>
        <w:t>“</w:t>
      </w:r>
      <w:r>
        <w:rPr>
          <w:rFonts w:ascii="Times New Roman" w:hAnsi="Times New Roman"/>
          <w:b/>
          <w:i/>
          <w:color w:val="000000"/>
          <w:sz w:val="22"/>
        </w:rPr>
        <w:t>U.S.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United States</w:t>
      </w:r>
      <w:r>
        <w:rPr>
          <w:rFonts w:ascii="Times New Roman" w:hAnsi="Times New Roman"/>
          <w:color w:val="000000"/>
          <w:sz w:val="20"/>
        </w:rPr>
        <w:t xml:space="preserve">” </w:t>
      </w:r>
      <w:r>
        <w:rPr>
          <w:rFonts w:ascii="Times New Roman" w:hAnsi="Times New Roman"/>
          <w:color w:val="000000"/>
          <w:sz w:val="22"/>
        </w:rPr>
        <w:t>means the United States of America.</w:t>
      </w:r>
    </w:p>
    <w:p>
      <w:pPr>
        <w:pStyle w:val="TextBody"/>
        <w:bidi w:val="0"/>
        <w:spacing w:before="0" w:after="240"/>
        <w:jc w:val="both"/>
        <w:rPr/>
      </w:pPr>
      <w:r>
        <w:rPr>
          <w:color w:val="000000"/>
        </w:rPr>
        <w:t>“</w:t>
      </w:r>
      <w:r>
        <w:rPr>
          <w:rFonts w:ascii="Times New Roman" w:hAnsi="Times New Roman"/>
          <w:b/>
          <w:i/>
          <w:color w:val="000000"/>
          <w:sz w:val="22"/>
        </w:rPr>
        <w:t>U.S. Government Securities Business Day</w:t>
      </w:r>
      <w:r>
        <w:rPr>
          <w:rFonts w:ascii="Times New Roman" w:hAnsi="Times New Roman"/>
          <w:color w:val="000000"/>
          <w:sz w:val="20"/>
        </w:rPr>
        <w:t xml:space="preserve">” </w:t>
      </w:r>
      <w:r>
        <w:rPr>
          <w:rFonts w:ascii="Times New Roman" w:hAnsi="Times New Roman"/>
          <w:color w:val="000000"/>
          <w:sz w:val="22"/>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b/>
          <w:i/>
          <w:color w:val="000000"/>
          <w:sz w:val="22"/>
        </w:rPr>
        <w:t>U.S. Person</w:t>
      </w:r>
      <w:r>
        <w:rPr>
          <w:rFonts w:ascii="Times New Roman" w:hAnsi="Times New Roman"/>
          <w:color w:val="000000"/>
          <w:sz w:val="20"/>
        </w:rPr>
        <w:t xml:space="preserve">” </w:t>
      </w:r>
      <w:r>
        <w:rPr>
          <w:rFonts w:ascii="Times New Roman" w:hAnsi="Times New Roman"/>
          <w:color w:val="000000"/>
          <w:sz w:val="22"/>
        </w:rPr>
        <w:t>means a “United States person” within the meaning of Section 7701(a)(30) of the Code.</w:t>
      </w:r>
    </w:p>
    <w:p>
      <w:pPr>
        <w:pStyle w:val="TextBody"/>
        <w:bidi w:val="0"/>
        <w:spacing w:before="0" w:after="240"/>
        <w:jc w:val="both"/>
        <w:rPr/>
      </w:pPr>
      <w:r>
        <w:rPr>
          <w:color w:val="000000"/>
        </w:rPr>
        <w:t>“</w:t>
      </w:r>
      <w:r>
        <w:rPr>
          <w:rFonts w:ascii="Times New Roman" w:hAnsi="Times New Roman"/>
          <w:b/>
          <w:i/>
          <w:color w:val="000000"/>
          <w:sz w:val="22"/>
        </w:rPr>
        <w:t>U.S. Special Resolution Regime</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9.21(a)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USA Patriot Act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9.14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Wells Fargo</w:t>
      </w:r>
      <w:r>
        <w:rPr>
          <w:rFonts w:ascii="Times New Roman" w:hAnsi="Times New Roman"/>
          <w:color w:val="000000"/>
          <w:sz w:val="20"/>
        </w:rPr>
        <w:t xml:space="preserve">” </w:t>
      </w:r>
      <w:r>
        <w:rPr>
          <w:rFonts w:ascii="Times New Roman" w:hAnsi="Times New Roman"/>
          <w:color w:val="000000"/>
          <w:sz w:val="22"/>
        </w:rPr>
        <w:t>means Wells Fargo Bank, National Association, a national banking association, in its individual capacity, and its successors.</w:t>
      </w:r>
    </w:p>
    <w:p>
      <w:pPr>
        <w:pStyle w:val="TextBody"/>
        <w:bidi w:val="0"/>
        <w:spacing w:before="0" w:after="240"/>
        <w:jc w:val="both"/>
        <w:rPr/>
      </w:pPr>
      <w:r>
        <w:rPr>
          <w:color w:val="000000"/>
        </w:rPr>
        <w:t>“</w:t>
      </w:r>
      <w:r>
        <w:rPr>
          <w:rFonts w:ascii="Times New Roman" w:hAnsi="Times New Roman"/>
          <w:b/>
          <w:i/>
          <w:color w:val="000000"/>
          <w:sz w:val="22"/>
        </w:rPr>
        <w:t>Withdrawal Liability</w:t>
      </w:r>
      <w:r>
        <w:rPr>
          <w:rFonts w:ascii="Times New Roman" w:hAnsi="Times New Roman"/>
          <w:color w:val="000000"/>
          <w:sz w:val="20"/>
        </w:rPr>
        <w:t xml:space="preserve">” </w:t>
      </w:r>
      <w:r>
        <w:rPr>
          <w:rFonts w:ascii="Times New Roman" w:hAnsi="Times New Roman"/>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b/>
          <w:i/>
          <w:color w:val="000000"/>
          <w:sz w:val="22"/>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6.02</w:t>
      </w:r>
    </w:p>
    <w:p>
      <w:pPr>
        <w:pStyle w:val="TextBody"/>
        <w:bidi w:val="0"/>
        <w:spacing w:before="0" w:after="240"/>
        <w:jc w:val="both"/>
        <w:rPr/>
      </w:pPr>
      <w:r>
        <w:rPr>
          <w:rFonts w:ascii="Times New Roman" w:hAnsi="Times New Roman"/>
          <w:color w:val="000000"/>
          <w:sz w:val="22"/>
          <w:u w:val="single"/>
        </w:rPr>
        <w:t xml:space="preserve">Classification of Loans and Borrowings </w:t>
      </w:r>
      <w:r>
        <w:rPr>
          <w:rFonts w:ascii="Times New Roman" w:hAnsi="Times New Roman"/>
          <w:color w:val="000000"/>
          <w:sz w:val="22"/>
        </w:rPr>
        <w:t>. For purposes of this Agreement, Loans may be classified and referred to by Class (e.g., a “Revolving Loan”) or by Type (e.g., a “Term Benchmark Loan” or an “RFR Loan”</w:t>
      </w:r>
      <w:r>
        <w:rPr>
          <w:rFonts w:ascii="Times New Roman" w:hAnsi="Times New Roman"/>
          <w:i/>
          <w:color w:val="000000"/>
          <w:sz w:val="22"/>
        </w:rPr>
        <w:t xml:space="preserve">) </w:t>
      </w:r>
      <w:r>
        <w:rPr>
          <w:rFonts w:ascii="Times New Roman" w:hAnsi="Times New Roman"/>
          <w:color w:val="000000"/>
          <w:sz w:val="22"/>
        </w:rPr>
        <w:t>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6.03</w:t>
      </w:r>
    </w:p>
    <w:p>
      <w:pPr>
        <w:pStyle w:val="TextBody"/>
        <w:bidi w:val="0"/>
        <w:spacing w:before="0" w:after="240"/>
        <w:jc w:val="both"/>
        <w:rPr/>
      </w:pPr>
      <w:r>
        <w:rPr>
          <w:rFonts w:ascii="Times New Roman" w:hAnsi="Times New Roman"/>
          <w:color w:val="000000"/>
          <w:sz w:val="22"/>
          <w:u w:val="single"/>
        </w:rPr>
        <w:t>Terms Generally</w:t>
      </w:r>
      <w:r>
        <w:rPr>
          <w:rFonts w:ascii="Times New Roman" w:hAnsi="Times New Roman"/>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definition of or reference to any agreement, instrument or other document herein shall be construed as referring to such agreement, instrument or other document as from time to time amended, restated, supplemented or otherwise modified (including pursuant to any permitted refinancing, extension, renewal, replacement, restructuring or increase (in each case, whether pursuant to one or more agreements or with different lenders or different agents), but subject to any restrictions on such amendments, restatements, supplements or modifications set forth herein),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definition of or reference to any law, statute, rule or regulation shall, unless otherwise specified, be construed as referring thereto as from time to time amended, supplemented or otherwise modified (including by succession of comparable successor laws),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words “herein”, “hereof” and “hereunder”, and words of similar import, shall be construed to refer to this Agreement in its entirety and not to any particular provision hereof,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references herein to Articles, Sections, Exhibits and Schedules shall be construed to refer to </w:t>
        <w:br/>
        <w:t xml:space="preserve">Articles and Sections of, and Exhibits and Schedules to, this Agreement,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reference in any definition to the phrase “at any time” or “for any period” shall refer to the same time or period for all calculations or determinations within such definition and in the computation of periods of time from a specified date to a later specified date, the word “from” means “from and including”; the words “to” and “until” each mean “to but excluding”; and the word “through” means “to and including”,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reference to “knowledge” or “awareness” of any Loan Party or a Subsidiary thereof means the actual knowledge of a Responsible Officer of a Loan Party or such Subsidiary,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words “asset” and “property” shall be construed to have the same meaning and effect and to refer to any and all tangible and intangible assets and properties, including cash, securities, accounts and contract rights,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references to “in the ordinary course of business” of the Borrower or any Subsidiary thereof means (A) in the ordinary course of business of, or in furtherance of an objective that is in the ordinary course of business of the Borrower or such Subsidiary, as applicable, (B) customary and usual in the industry or industries of the Borrower and its Subsidiaries in the United States or any other jurisdiction in which the Borrower or any Subsidiary does business, as applicable or (C) generally consistent with the past or current practice of the Borrower or such Subsidiary, as applicable, or any similarly situated businesses in the United States or any other jurisdiction in which the Borrower or any Subsidiary does business, as applicable, and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pPr>
      <w:r>
        <w:rPr>
          <w:rFonts w:ascii="Times New Roman" w:hAnsi="Times New Roman"/>
          <w:color w:val="000000"/>
          <w:sz w:val="22"/>
        </w:rPr>
        <w:t>with respect to any Default or Event of Default, the words “exists,” “is continuing” or similar expressions with respect thereto shall mean that the Default or Event of Default has occurred and has not yet been cured or waived. In the case of any cure or waiver, the Borrower, the applicable Loan Parties, the Lenders and the Administrative Agent shall be restored to their former positions and rights hereunder and under the other Loan Documents, and any Default or Event of Default cured or waived shall be deemed to be cured and not continuing. Notwithstanding anything to the contrary herein, no such cure or waiver shall extend to any subsequent or other Default or Event of Default or impair any right consequent thereon. For the avoidance of doubt, if (i) any Default or Event of Default under this Agreement (a “</w:t>
      </w:r>
      <w:r>
        <w:rPr>
          <w:rFonts w:ascii="Times New Roman" w:hAnsi="Times New Roman"/>
          <w:b/>
          <w:i/>
          <w:color w:val="000000"/>
          <w:sz w:val="22"/>
        </w:rPr>
        <w:t>Subject Default</w:t>
      </w:r>
      <w:r>
        <w:rPr>
          <w:color w:val="000000"/>
        </w:rPr>
        <w:t>”</w:t>
      </w:r>
      <w:r>
        <w:rPr>
          <w:rFonts w:ascii="Times New Roman" w:hAnsi="Times New Roman"/>
          <w:color w:val="000000"/>
          <w:sz w:val="22"/>
        </w:rPr>
        <w:t xml:space="preserve">) occurs under any covenant or obligation under any Loan Documents (other than, for the avoidance of doubt, Event of Default arising under </w:t>
      </w:r>
      <w:r>
        <w:rPr>
          <w:rFonts w:ascii="Times New Roman" w:hAnsi="Times New Roman"/>
          <w:color w:val="000000"/>
          <w:sz w:val="22"/>
          <w:u w:val="single"/>
        </w:rPr>
        <w:t>Section 7.01(a)</w:t>
      </w:r>
      <w:r>
        <w:rPr>
          <w:color w:val="000000"/>
        </w:rPr>
        <w:t xml:space="preserve"> </w:t>
      </w:r>
      <w:r>
        <w:rPr>
          <w:rFonts w:ascii="Times New Roman" w:hAnsi="Times New Roman"/>
          <w:color w:val="000000"/>
          <w:sz w:val="22"/>
        </w:rPr>
        <w:t xml:space="preserve">or any Event of Default under </w:t>
      </w:r>
      <w:r>
        <w:rPr>
          <w:rFonts w:ascii="Times New Roman" w:hAnsi="Times New Roman"/>
          <w:color w:val="000000"/>
          <w:sz w:val="22"/>
          <w:u w:val="single"/>
        </w:rPr>
        <w:t>Section 6.10</w:t>
      </w:r>
      <w:r>
        <w:rPr>
          <w:rFonts w:ascii="Times New Roman" w:hAnsi="Times New Roman"/>
          <w:color w:val="000000"/>
          <w:sz w:val="22"/>
        </w:rPr>
        <w:t>), (ii) the Borrower has delivered any notice required to be delivered to the Administrative Agent promptly upon obtaining actual knowledge that such Subject Default exists, (iii) (A) the event, condition or inaction giving rise to such Subject Default no longer exists and is not continuing, including as a result of the Borrower or applicable Subsidiary having taken the required action giving rise to such Subject Default or (B) such Subject Default shall otherwise have been cured or waived, and (iv) there has not been any acceleration of Loans or Obligations following such Subject Default, then such Subject Default and each other Default or Event of Default that may have resulted from the making or deemed making of any representation or warranty as to, or the taking of any action or consummation of any transaction conditioned upon, the absence of any existing or continuing Default or Event of Default, in each case, related to the Subject Default, shall automatically be deemed to have been cured and no longer continuing; provided that the Subject Default and each other Default or Event of Default shall not be deemed cured and no longer continuing: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there is a taking of any action by any Loan Party or Subsidiary of a Loan Party that is not permitted during, and as a result of, the continuance of such Subject Default and the Borrower had actual knowledge at the time of taking any such action that the Subject Default had occurred and was continuing;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 xml:space="preserve">(x) in the case of a Subject Default for which a Responsible Officer of the Borrower failed to give notice to the Administrative Agent and the Lenders of such Subject Default in accordance with </w:t>
      </w:r>
      <w:r>
        <w:rPr>
          <w:rFonts w:ascii="Times New Roman" w:hAnsi="Times New Roman"/>
          <w:color w:val="000000"/>
          <w:sz w:val="22"/>
          <w:u w:val="single"/>
        </w:rPr>
        <w:t>Section 5.02(a)</w:t>
      </w:r>
      <w:r>
        <w:rPr>
          <w:color w:val="000000"/>
        </w:rPr>
        <w:t xml:space="preserve"> </w:t>
      </w:r>
      <w:r>
        <w:rPr>
          <w:rFonts w:ascii="Times New Roman" w:hAnsi="Times New Roman"/>
          <w:color w:val="000000"/>
          <w:sz w:val="22"/>
        </w:rPr>
        <w:t xml:space="preserve">of this Agreement and (y) a Responsible Officer of the Borrower had actual knowledge of such failure to give such notice; or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in the case of an Event of Default for which the Administrative Agent (at the direction of the Required Lenders) has accelerated the Loans and terminated the Commitments pursuant to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6.04</w:t>
      </w:r>
    </w:p>
    <w:p>
      <w:pPr>
        <w:pStyle w:val="TextBody"/>
        <w:bidi w:val="0"/>
        <w:spacing w:before="0" w:after="240"/>
        <w:jc w:val="both"/>
        <w:rPr/>
      </w:pPr>
      <w:r>
        <w:rPr>
          <w:rFonts w:ascii="Times New Roman" w:hAnsi="Times New Roman"/>
          <w:color w:val="000000"/>
          <w:sz w:val="22"/>
          <w:u w:val="single"/>
        </w:rPr>
        <w:t>Accounting Terms; GAAP</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Except as otherwise expressly provided herein, all terms of an accounting or financial nature shall be construed in accordance with GAAP, as in effect from time to time; </w:t>
      </w:r>
      <w:r>
        <w:rPr>
          <w:rFonts w:ascii="Times New Roman" w:hAnsi="Times New Roman"/>
          <w:i/>
          <w:color w:val="000000"/>
          <w:sz w:val="22"/>
        </w:rPr>
        <w:t xml:space="preserve">provided </w:t>
      </w:r>
      <w:r>
        <w:rPr>
          <w:rFonts w:ascii="Times New Roman" w:hAnsi="Times New Roman"/>
          <w:color w:val="000000"/>
          <w:sz w:val="22"/>
        </w:rPr>
        <w:t xml:space="preserve">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fair value opinion election under Financial Accounting Standards Board Accounting Standards Codification Topic 825, </w:t>
      </w:r>
      <w:r>
        <w:rPr>
          <w:rFonts w:ascii="Times New Roman" w:hAnsi="Times New Roman"/>
          <w:i/>
          <w:color w:val="000000"/>
          <w:sz w:val="22"/>
        </w:rPr>
        <w:t>Financial Instruments</w:t>
      </w:r>
      <w:r>
        <w:rPr>
          <w:color w:val="000000"/>
        </w:rPr>
        <w:t xml:space="preserve"> </w:t>
      </w:r>
      <w:r>
        <w:rPr>
          <w:rFonts w:ascii="Times New Roman" w:hAnsi="Times New Roman"/>
          <w:color w:val="000000"/>
          <w:sz w:val="22"/>
        </w:rPr>
        <w:t>(or any other Financial Accounting Standard having a similar result or effect) to value any Indebtedness or other liabilities of the Borrower or any Subsidiary at “fair value”, as defined therein and (ii) any treatment of Indebtedness under Accounting Standards Codification Subtopic 470-20 or 835-30 (or any other guidance under GAAP having a similar result or effect) to value any such Indebtedness in a reduced or bifurcated manner as described therein, and such Indebtedness shall at all times be valued at the full stated principal amount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Notwithstanding anything to the contrary contained in </w:t>
      </w:r>
      <w:r>
        <w:rPr>
          <w:rFonts w:ascii="Times New Roman" w:hAnsi="Times New Roman"/>
          <w:color w:val="000000"/>
          <w:sz w:val="22"/>
          <w:u w:val="single"/>
        </w:rPr>
        <w:t>Section 1.04(a)</w:t>
      </w:r>
      <w:r>
        <w:rPr>
          <w:color w:val="000000"/>
        </w:rPr>
        <w:t xml:space="preserve"> </w:t>
      </w:r>
      <w:r>
        <w:rPr>
          <w:rFonts w:ascii="Times New Roman" w:hAnsi="Times New Roman"/>
          <w:color w:val="000000"/>
          <w:sz w:val="22"/>
        </w:rPr>
        <w:t xml:space="preserve">or in the definition of “Capital Lease Obligations,” any change in accounting for leases pursuant to GAAP resulting from the adoption of Financial Accounting Standards Board Accounting Standards Update No. 2016-02, </w:t>
      </w:r>
      <w:r>
        <w:rPr>
          <w:rFonts w:ascii="Times New Roman" w:hAnsi="Times New Roman"/>
          <w:i/>
          <w:color w:val="000000"/>
          <w:sz w:val="22"/>
        </w:rPr>
        <w:t>Leases (Topic 842)</w:t>
      </w:r>
      <w:r>
        <w:rPr>
          <w:color w:val="000000"/>
        </w:rPr>
        <w:t xml:space="preserve"> </w:t>
      </w:r>
      <w:r>
        <w:rPr>
          <w:rFonts w:ascii="Times New Roman" w:hAnsi="Times New Roman"/>
          <w:color w:val="000000"/>
          <w:sz w:val="22"/>
        </w:rPr>
        <w:t>(“</w:t>
      </w:r>
      <w:r>
        <w:rPr>
          <w:rFonts w:ascii="Times New Roman" w:hAnsi="Times New Roman"/>
          <w:b/>
          <w:i/>
          <w:color w:val="000000"/>
          <w:sz w:val="22"/>
        </w:rPr>
        <w:t>ASC 842</w:t>
      </w:r>
      <w:r>
        <w:rPr>
          <w:color w:val="000000"/>
        </w:rPr>
        <w:t>”</w:t>
      </w:r>
      <w:r>
        <w:rPr>
          <w:rFonts w:ascii="Times New Roman" w:hAnsi="Times New Roman"/>
          <w:color w:val="000000"/>
          <w:sz w:val="22"/>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6.05</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6.06</w:t>
      </w:r>
    </w:p>
    <w:p>
      <w:pPr>
        <w:pStyle w:val="TextBody"/>
        <w:bidi w:val="0"/>
        <w:spacing w:before="0" w:after="240"/>
        <w:jc w:val="both"/>
        <w:rPr/>
      </w:pPr>
      <w:r>
        <w:rPr>
          <w:rFonts w:ascii="Times New Roman" w:hAnsi="Times New Roman"/>
          <w:color w:val="000000"/>
          <w:sz w:val="22"/>
          <w:u w:val="single"/>
        </w:rPr>
        <w:t>Interest Rates, Benchmark Notification</w:t>
      </w:r>
      <w:r>
        <w:rPr>
          <w:rFonts w:ascii="Times New Roman" w:hAnsi="Times New Roman"/>
          <w:color w:val="000000"/>
          <w:sz w:val="22"/>
        </w:rPr>
        <w:t xml:space="preserve">. 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 w:hAnsi="Times New Roman"/>
          <w:color w:val="000000"/>
          <w:sz w:val="22"/>
          <w:u w:val="single"/>
        </w:rPr>
        <w:t>Section 2.14(b</w:t>
      </w:r>
      <w:r>
        <w:rPr>
          <w:rFonts w:ascii="Times New Roman" w:hAnsi="Times New Roman"/>
          <w:color w:val="000000"/>
          <w:sz w:val="22"/>
        </w:rPr>
        <w:t xml:space="preserve">) provides a mechanism for determining an alternative rate of interest. The Administrative Agent does not warrant or accept any responsibility for, and shall not have any liability with respect to, (a) the continuation of, administration of, submission of, calculation of or any other matter related to the Term SOFR Reference Rate, Adjusted Term SOFR Rate or Term SOFR, or any component definition thereof or rates referred to in the definition thereof, or with respect to any alternative, successor or replacement rate thereto (including any Benchmark Replacement), including without limitation whether the composition or characteristics of any such alternative, successor or replacement rate (including any Benchmark Replacement), as it may or may not be adjusted pursuant to </w:t>
      </w:r>
      <w:r>
        <w:rPr>
          <w:rFonts w:ascii="Times New Roman" w:hAnsi="Times New Roman"/>
          <w:color w:val="000000"/>
          <w:sz w:val="22"/>
          <w:u w:val="single"/>
        </w:rPr>
        <w:t>Section 2.14</w:t>
      </w:r>
      <w:r>
        <w:rPr>
          <w:rFonts w:ascii="Times New Roman" w:hAnsi="Times New Roman"/>
          <w:color w:val="000000"/>
          <w:sz w:val="22"/>
        </w:rPr>
        <w:t xml:space="preserve">, will be similar to, or produce the same value or economic equivalence of, or have the same volume or liquidity as, the Term SOFR Reference Rate, Adjusted Term SOFR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Adjusted Term SOFR Rate, Term SOFR, any alternative,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Adjusted Term SOFR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6.07</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6.08</w:t>
      </w:r>
    </w:p>
    <w:p>
      <w:pPr>
        <w:pStyle w:val="TextBody"/>
        <w:bidi w:val="0"/>
        <w:spacing w:before="0" w:after="240"/>
        <w:jc w:val="both"/>
        <w:rPr/>
      </w:pPr>
      <w:r>
        <w:rPr>
          <w:rFonts w:ascii="Times New Roman" w:hAnsi="Times New Roman"/>
          <w:color w:val="000000"/>
          <w:sz w:val="22"/>
          <w:u w:val="single"/>
        </w:rPr>
        <w:t>EBITDA</w:t>
      </w:r>
      <w:r>
        <w:rPr>
          <w:rFonts w:ascii="Times New Roman" w:hAnsi="Times New Roman"/>
          <w:color w:val="000000"/>
          <w:sz w:val="22"/>
        </w:rPr>
        <w:t xml:space="preserve">. Unless otherwise specified herein, for any calculation of Consolidated First Lien Net Leverage Ratio, Consolidated Secured Net Leverage Ratio or Consolidated Total Net Leverage Ratio or for any other similar purpose hereunder, if Consolidated EBITDA is negative then the Borrower and its Subsidiaries will not be compliant with respect to any covenant or trigger based on the calculation of Consolidated First Lien Net Leverage Ratio, Consolidated Secured Net Leverage Ratio or Consolidated Total Net Leverage Ratio.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6.09</w:t>
      </w:r>
    </w:p>
    <w:p>
      <w:pPr>
        <w:pStyle w:val="TextBody"/>
        <w:bidi w:val="0"/>
        <w:spacing w:before="0" w:after="240"/>
        <w:jc w:val="both"/>
        <w:rPr/>
      </w:pPr>
      <w:r>
        <w:rPr>
          <w:rFonts w:ascii="Times New Roman" w:hAnsi="Times New Roman"/>
          <w:color w:val="000000"/>
          <w:sz w:val="22"/>
          <w:u w:val="single"/>
        </w:rPr>
        <w:t>Letter of Credit Amounts</w:t>
      </w:r>
      <w:r>
        <w:rPr>
          <w:rFonts w:ascii="Times New Roman" w:hAnsi="Times New Roman"/>
          <w:color w:val="000000"/>
          <w:sz w:val="22"/>
        </w:rPr>
        <w:t xml:space="preserve">. Unless otherwise specified herein, the amount of a Letter of Credit at any time shall be deemed to be the stated amount of such Letter of Credit available to be drawn at such time; </w:t>
      </w:r>
      <w:r>
        <w:rPr>
          <w:rFonts w:ascii="Times New Roman" w:hAnsi="Times New Roman"/>
          <w:i/>
          <w:color w:val="000000"/>
          <w:sz w:val="22"/>
        </w:rPr>
        <w:t xml:space="preserve">provided </w:t>
      </w:r>
      <w:r>
        <w:rPr>
          <w:rFonts w:ascii="Times New Roman" w:hAnsi="Times New Roman"/>
          <w:color w:val="000000"/>
          <w:sz w:val="22"/>
        </w:rPr>
        <w:t>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6.10</w:t>
      </w:r>
    </w:p>
    <w:p>
      <w:pPr>
        <w:pStyle w:val="TextBody"/>
        <w:bidi w:val="0"/>
        <w:spacing w:before="0" w:after="240"/>
        <w:jc w:val="both"/>
        <w:rPr/>
      </w:pPr>
      <w:r>
        <w:rPr>
          <w:rFonts w:ascii="Times New Roman" w:hAnsi="Times New Roman"/>
          <w:color w:val="000000"/>
          <w:sz w:val="22"/>
          <w:u w:val="single"/>
        </w:rPr>
        <w:t>Divisions</w:t>
      </w:r>
      <w:r>
        <w:rPr>
          <w:rFonts w:ascii="Times New Roman" w:hAnsi="Times New Roman"/>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6.11</w:t>
      </w:r>
    </w:p>
    <w:p>
      <w:pPr>
        <w:pStyle w:val="TextBody"/>
        <w:bidi w:val="0"/>
        <w:spacing w:before="0" w:after="240"/>
        <w:jc w:val="both"/>
        <w:rPr/>
      </w:pPr>
      <w:r>
        <w:rPr>
          <w:rFonts w:ascii="Times New Roman" w:hAnsi="Times New Roman"/>
          <w:color w:val="000000"/>
          <w:sz w:val="22"/>
          <w:u w:val="single"/>
        </w:rPr>
        <w:t>Currency Translation</w:t>
      </w:r>
      <w:r>
        <w:rPr>
          <w:rFonts w:ascii="Times New Roman" w:hAnsi="Times New Roman"/>
          <w:color w:val="000000"/>
          <w:sz w:val="22"/>
        </w:rPr>
        <w:t xml:space="preserve">. For purposes of determining compliance as of any date after the Effective Date with </w:t>
      </w:r>
      <w:r>
        <w:rPr>
          <w:rFonts w:ascii="Times New Roman" w:hAnsi="Times New Roman"/>
          <w:color w:val="000000"/>
          <w:sz w:val="22"/>
          <w:u w:val="single"/>
        </w:rPr>
        <w:t>Article VI</w:t>
      </w:r>
      <w:r>
        <w:rPr>
          <w:rFonts w:ascii="Times New Roman" w:hAnsi="Times New Roman"/>
          <w:color w:val="000000"/>
          <w:sz w:val="22"/>
        </w:rPr>
        <w:t xml:space="preserve">, or for purposes of making any determination under </w:t>
      </w:r>
      <w:r>
        <w:rPr>
          <w:rFonts w:ascii="Times New Roman" w:hAnsi="Times New Roman"/>
          <w:color w:val="000000"/>
          <w:sz w:val="22"/>
          <w:u w:val="single"/>
        </w:rPr>
        <w:t xml:space="preserve">clauses </w:t>
      </w:r>
      <w:r>
        <w:rPr>
          <w:rFonts w:ascii="Times New Roman" w:hAnsi="Times New Roman"/>
          <w:color w:val="000000"/>
          <w:sz w:val="22"/>
        </w:rPr>
        <w:t>(</w:t>
      </w:r>
      <w:r>
        <w:rPr>
          <w:rFonts w:ascii="Times New Roman" w:hAnsi="Times New Roman"/>
          <w:color w:val="000000"/>
          <w:sz w:val="22"/>
          <w:u w:val="single"/>
        </w:rPr>
        <w:t>f)</w:t>
      </w:r>
      <w:r>
        <w:rPr>
          <w:rFonts w:ascii="Times New Roman" w:hAnsi="Times New Roman"/>
          <w:color w:val="000000"/>
          <w:sz w:val="22"/>
        </w:rPr>
        <w:t xml:space="preserve">, </w:t>
      </w:r>
      <w:r>
        <w:rPr>
          <w:rFonts w:ascii="Times New Roman" w:hAnsi="Times New Roman"/>
          <w:color w:val="000000"/>
          <w:sz w:val="22"/>
          <w:u w:val="single"/>
        </w:rPr>
        <w:t>(g)</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(k)</w:t>
      </w:r>
      <w:r>
        <w:rPr>
          <w:color w:val="000000"/>
        </w:rPr>
        <w:t xml:space="preserve"> </w:t>
      </w:r>
      <w:r>
        <w:rPr>
          <w:rFonts w:ascii="Times New Roman" w:hAnsi="Times New Roman"/>
          <w:color w:val="000000"/>
          <w:sz w:val="22"/>
        </w:rPr>
        <w:t xml:space="preserve">of </w:t>
      </w:r>
      <w:r>
        <w:rPr>
          <w:rFonts w:ascii="Times New Roman" w:hAnsi="Times New Roman"/>
          <w:color w:val="000000"/>
          <w:sz w:val="22"/>
          <w:u w:val="single"/>
        </w:rPr>
        <w:t>Article VII</w:t>
      </w:r>
      <w:r>
        <w:rPr>
          <w:rFonts w:ascii="Times New Roman" w:hAnsi="Times New Roman"/>
          <w:color w:val="000000"/>
          <w:sz w:val="22"/>
        </w:rPr>
        <w:t xml:space="preserve">, or for any other specified purpose hereunder, amounts incurred or outstanding in currencies other than Dollars shall be translated into Dollars at currency exchange rates in effect on the last Business Day of the fiscal month immediately preceding the fiscal month in which such determination occurs or in respect of which such determination is being made (as applicable), as such currency exchange rates shall be determined in good faith by the Borrower by reference to customary indices. No Default or Event of Default shall arise as a result of any limitation or threshold set forth in Dollars in </w:t>
      </w:r>
      <w:r>
        <w:rPr>
          <w:rFonts w:ascii="Times New Roman" w:hAnsi="Times New Roman"/>
          <w:color w:val="000000"/>
          <w:sz w:val="22"/>
          <w:u w:val="single"/>
        </w:rPr>
        <w:t>Section 5.12</w:t>
      </w:r>
      <w:r>
        <w:rPr>
          <w:rFonts w:ascii="Times New Roman" w:hAnsi="Times New Roman"/>
          <w:color w:val="000000"/>
          <w:sz w:val="22"/>
        </w:rPr>
        <w:t xml:space="preserve">, </w:t>
      </w:r>
      <w:r>
        <w:rPr>
          <w:rFonts w:ascii="Times New Roman" w:hAnsi="Times New Roman"/>
          <w:color w:val="000000"/>
          <w:sz w:val="22"/>
          <w:u w:val="single"/>
        </w:rPr>
        <w:t>Section 6.01</w:t>
      </w:r>
      <w:r>
        <w:rPr>
          <w:rFonts w:ascii="Times New Roman" w:hAnsi="Times New Roman"/>
          <w:color w:val="000000"/>
          <w:sz w:val="22"/>
        </w:rPr>
        <w:t xml:space="preserve">, </w:t>
      </w:r>
      <w:r>
        <w:rPr>
          <w:rFonts w:ascii="Times New Roman" w:hAnsi="Times New Roman"/>
          <w:color w:val="000000"/>
          <w:sz w:val="22"/>
          <w:u w:val="single"/>
        </w:rPr>
        <w:t>Section 6.02</w:t>
      </w:r>
      <w:r>
        <w:rPr>
          <w:rFonts w:ascii="Times New Roman" w:hAnsi="Times New Roman"/>
          <w:color w:val="000000"/>
          <w:sz w:val="22"/>
        </w:rPr>
        <w:t>,</w:t>
      </w:r>
      <w:r>
        <w:rPr>
          <w:color w:val="000000"/>
          <w:u w:val="single"/>
        </w:rPr>
        <w:t xml:space="preserve"> </w:t>
      </w:r>
      <w:r>
        <w:rPr>
          <w:rFonts w:ascii="Times New Roman" w:hAnsi="Times New Roman"/>
          <w:color w:val="000000"/>
          <w:sz w:val="22"/>
          <w:u w:val="single"/>
        </w:rPr>
        <w:t>Section 6.03</w:t>
      </w:r>
      <w:r>
        <w:rPr>
          <w:rFonts w:ascii="Times New Roman" w:hAnsi="Times New Roman"/>
          <w:color w:val="000000"/>
          <w:sz w:val="22"/>
        </w:rPr>
        <w:t xml:space="preserve">, </w:t>
      </w:r>
      <w:r>
        <w:rPr>
          <w:rFonts w:ascii="Times New Roman" w:hAnsi="Times New Roman"/>
          <w:color w:val="000000"/>
          <w:sz w:val="22"/>
          <w:u w:val="single"/>
        </w:rPr>
        <w:t>Section 6.04</w:t>
      </w:r>
      <w:r>
        <w:rPr>
          <w:rFonts w:ascii="Times New Roman" w:hAnsi="Times New Roman"/>
          <w:color w:val="000000"/>
          <w:sz w:val="22"/>
        </w:rPr>
        <w:t xml:space="preserve">, </w:t>
      </w:r>
      <w:r>
        <w:rPr>
          <w:rFonts w:ascii="Times New Roman" w:hAnsi="Times New Roman"/>
          <w:color w:val="000000"/>
          <w:sz w:val="22"/>
          <w:u w:val="single"/>
        </w:rPr>
        <w:t>Section 6.05</w:t>
      </w:r>
      <w:r>
        <w:rPr>
          <w:rFonts w:ascii="Times New Roman" w:hAnsi="Times New Roman"/>
          <w:color w:val="000000"/>
          <w:sz w:val="22"/>
        </w:rPr>
        <w:t xml:space="preserve">, </w:t>
      </w:r>
      <w:r>
        <w:rPr>
          <w:rFonts w:ascii="Times New Roman" w:hAnsi="Times New Roman"/>
          <w:color w:val="000000"/>
          <w:sz w:val="22"/>
          <w:u w:val="single"/>
        </w:rPr>
        <w:t>Section 6.06</w:t>
      </w:r>
      <w:r>
        <w:rPr>
          <w:rFonts w:ascii="Times New Roman" w:hAnsi="Times New Roman"/>
          <w:color w:val="000000"/>
          <w:sz w:val="22"/>
        </w:rPr>
        <w:t xml:space="preserve">, </w:t>
      </w:r>
      <w:r>
        <w:rPr>
          <w:rFonts w:ascii="Times New Roman" w:hAnsi="Times New Roman"/>
          <w:color w:val="000000"/>
          <w:sz w:val="22"/>
          <w:u w:val="single"/>
        </w:rPr>
        <w:t>Section 6.07</w:t>
      </w:r>
      <w:r>
        <w:rPr>
          <w:rFonts w:ascii="Times New Roman" w:hAnsi="Times New Roman"/>
          <w:color w:val="000000"/>
          <w:sz w:val="22"/>
        </w:rPr>
        <w:t xml:space="preserve">,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 xml:space="preserve">clauses </w:t>
      </w:r>
      <w:r>
        <w:rPr>
          <w:rFonts w:ascii="Times New Roman" w:hAnsi="Times New Roman"/>
          <w:color w:val="000000"/>
          <w:sz w:val="22"/>
        </w:rPr>
        <w:t>(</w:t>
      </w:r>
      <w:r>
        <w:rPr>
          <w:rFonts w:ascii="Times New Roman" w:hAnsi="Times New Roman"/>
          <w:color w:val="000000"/>
          <w:sz w:val="22"/>
          <w:u w:val="single"/>
        </w:rPr>
        <w:t>f)</w:t>
      </w:r>
      <w:r>
        <w:rPr>
          <w:rFonts w:ascii="Times New Roman" w:hAnsi="Times New Roman"/>
          <w:color w:val="000000"/>
          <w:sz w:val="22"/>
        </w:rPr>
        <w:t xml:space="preserve">, </w:t>
      </w:r>
      <w:r>
        <w:rPr>
          <w:rFonts w:ascii="Times New Roman" w:hAnsi="Times New Roman"/>
          <w:color w:val="000000"/>
          <w:sz w:val="22"/>
          <w:u w:val="single"/>
        </w:rPr>
        <w:t>(g)</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(k)</w:t>
      </w:r>
      <w:r>
        <w:rPr>
          <w:color w:val="000000"/>
        </w:rPr>
        <w:t xml:space="preserve"> </w:t>
      </w:r>
      <w:r>
        <w:rPr>
          <w:rFonts w:ascii="Times New Roman" w:hAnsi="Times New Roman"/>
          <w:color w:val="000000"/>
          <w:sz w:val="22"/>
        </w:rPr>
        <w:t xml:space="preserve">of </w:t>
      </w:r>
      <w:r>
        <w:rPr>
          <w:rFonts w:ascii="Times New Roman" w:hAnsi="Times New Roman"/>
          <w:color w:val="000000"/>
          <w:sz w:val="22"/>
          <w:u w:val="single"/>
        </w:rPr>
        <w:t>Article VII</w:t>
      </w:r>
      <w:r>
        <w:rPr>
          <w:rFonts w:ascii="Times New Roman" w:hAnsi="Times New Roman"/>
          <w:color w:val="000000"/>
          <w:sz w:val="22"/>
        </w:rPr>
        <w:t>, being exceeded solely as a result of changes in currency exchange rates from those rates applicable on the last day of the fiscal month immediately preceding the fiscal month in which such determination occurs or in respect of which such determination is being made (as applicable).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6.12</w:t>
      </w:r>
    </w:p>
    <w:p>
      <w:pPr>
        <w:pStyle w:val="TextBody"/>
        <w:bidi w:val="0"/>
        <w:spacing w:before="0" w:after="240"/>
        <w:jc w:val="both"/>
        <w:rPr/>
      </w:pPr>
      <w:r>
        <w:rPr>
          <w:rFonts w:ascii="Times New Roman" w:hAnsi="Times New Roman"/>
          <w:color w:val="000000"/>
          <w:sz w:val="22"/>
          <w:u w:val="single"/>
        </w:rPr>
        <w:t>Cumulative Credit Transactions</w:t>
      </w:r>
      <w:r>
        <w:rPr>
          <w:rFonts w:ascii="Times New Roman" w:hAnsi="Times New Roman"/>
          <w:color w:val="000000"/>
          <w:sz w:val="22"/>
        </w:rPr>
        <w:t xml:space="preserve">. If more than one action occurs on any given date the permissibility of the taking of which is determined hereunder by reference to the amount of the Cumulative Credit immediately prior to the taking of such action, the permissibility of the taking of each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action shall be determined independently and in no event may any two or more such actions be treated as occurring simultaneously.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6.13</w:t>
      </w:r>
    </w:p>
    <w:p>
      <w:pPr>
        <w:pStyle w:val="TextBody"/>
        <w:bidi w:val="0"/>
        <w:spacing w:before="0" w:after="240"/>
        <w:jc w:val="both"/>
        <w:rPr/>
      </w:pPr>
      <w:r>
        <w:rPr>
          <w:rFonts w:ascii="Times New Roman" w:hAnsi="Times New Roman"/>
          <w:color w:val="000000"/>
          <w:sz w:val="22"/>
          <w:u w:val="single"/>
        </w:rPr>
        <w:t>Times of Day</w:t>
      </w:r>
      <w:r>
        <w:rPr>
          <w:rFonts w:ascii="Times New Roman" w:hAnsi="Times New Roman"/>
          <w:color w:val="000000"/>
          <w:sz w:val="22"/>
        </w:rPr>
        <w:t>. Unless otherwise specified, all references herein to times of day shall be references to Eastern time (daylight or standard, as applicable).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6.14</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Pro Forma Calculations.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Notwithstanding anything to the contrary herein, financial ratios and tests, including any determination of Liquidity, Consolidated Total Assets, Consolidated Total Revenue, Consolidated Total Debt, Consolidated First Lien Net Leverage Ratio, Consolidated Secured Net Leverage Ratio, Consolidated Total Net Leverage Ratio</w:t>
      </w:r>
      <w:r>
        <w:rPr>
          <w:rFonts w:ascii="Times New Roman" w:hAnsi="Times New Roman"/>
          <w:strike/>
          <w:color w:val="FF0000"/>
          <w:sz w:val="22"/>
        </w:rPr>
        <w:t xml:space="preserve">, Free Cash Flow </w:t>
      </w:r>
      <w:r>
        <w:rPr>
          <w:rFonts w:ascii="Times New Roman" w:hAnsi="Times New Roman"/>
          <w:color w:val="000000"/>
          <w:sz w:val="22"/>
        </w:rPr>
        <w:t xml:space="preserve">and Consolidated EBITDA, shall be calculated in the manner prescribed by this </w:t>
      </w:r>
      <w:r>
        <w:rPr>
          <w:rFonts w:ascii="Times New Roman" w:hAnsi="Times New Roman"/>
          <w:i/>
          <w:color w:val="000000"/>
          <w:sz w:val="22"/>
        </w:rPr>
        <w:t>Section 1.14</w:t>
      </w:r>
      <w:r>
        <w:rPr>
          <w:rFonts w:ascii="Times New Roman" w:hAnsi="Times New Roman"/>
          <w:color w:val="000000"/>
          <w:sz w:val="22"/>
        </w:rPr>
        <w:t xml:space="preserve">; provided that notwithstanding anything to the contrary in </w:t>
      </w:r>
      <w:r>
        <w:rPr>
          <w:rFonts w:ascii="Times New Roman" w:hAnsi="Times New Roman"/>
          <w:color w:val="000000"/>
          <w:sz w:val="22"/>
          <w:u w:val="single"/>
        </w:rPr>
        <w:t>Section 1.14(b)</w:t>
      </w:r>
      <w:r>
        <w:rPr>
          <w:rFonts w:ascii="Times New Roman" w:hAnsi="Times New Roman"/>
          <w:color w:val="000000"/>
          <w:sz w:val="22"/>
        </w:rPr>
        <w:t xml:space="preserve">, </w:t>
      </w:r>
      <w:r>
        <w:rPr>
          <w:rFonts w:ascii="Times New Roman" w:hAnsi="Times New Roman"/>
          <w:color w:val="000000"/>
          <w:sz w:val="22"/>
          <w:u w:val="single"/>
        </w:rPr>
        <w:t>(c)</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2"/>
        </w:rPr>
        <w:t>, when calculating Liquidity, Consolidated Total Assets, Consolidated Total Revenue, Consolidated Total Debt, Consolidated First Lien Net Leverage Ratio, Consolidated Secured Net Leverage Ratio, Consolidated Total Net Leverage Ratio</w:t>
      </w:r>
      <w:r>
        <w:rPr>
          <w:rFonts w:ascii="Times New Roman" w:hAnsi="Times New Roman"/>
          <w:strike/>
          <w:color w:val="FF0000"/>
          <w:sz w:val="22"/>
        </w:rPr>
        <w:t xml:space="preserve">, Free Cash Flow </w:t>
      </w:r>
      <w:r>
        <w:rPr>
          <w:rFonts w:ascii="Times New Roman" w:hAnsi="Times New Roman"/>
          <w:color w:val="000000"/>
          <w:sz w:val="22"/>
        </w:rPr>
        <w:t xml:space="preserve">and Consolidated EBITDA for purposes of determining actual compliance (and not Pro Forma compliance or compliance on a Pro Forma Basis) with any covenant pursuant to </w:t>
      </w:r>
      <w:r>
        <w:rPr>
          <w:rFonts w:ascii="Times New Roman" w:hAnsi="Times New Roman"/>
          <w:color w:val="000000"/>
          <w:sz w:val="22"/>
          <w:u w:val="single"/>
        </w:rPr>
        <w:t>Section 6.10</w:t>
      </w:r>
      <w:r>
        <w:rPr>
          <w:rFonts w:ascii="Times New Roman" w:hAnsi="Times New Roman"/>
          <w:color w:val="000000"/>
          <w:sz w:val="22"/>
        </w:rPr>
        <w:t xml:space="preserve">, the events described in this </w:t>
      </w:r>
      <w:r>
        <w:rPr>
          <w:rFonts w:ascii="Times New Roman" w:hAnsi="Times New Roman"/>
          <w:color w:val="000000"/>
          <w:sz w:val="22"/>
          <w:u w:val="single"/>
        </w:rPr>
        <w:t>Section 1.14</w:t>
      </w:r>
      <w:r>
        <w:rPr>
          <w:color w:val="000000"/>
        </w:rPr>
        <w:t xml:space="preserve"> </w:t>
      </w:r>
      <w:r>
        <w:rPr>
          <w:rFonts w:ascii="Times New Roman" w:hAnsi="Times New Roman"/>
          <w:color w:val="000000"/>
          <w:sz w:val="22"/>
        </w:rPr>
        <w:t>that occurred subsequent to the end of the applicable Test Period shall not be given pro forma effect. In addition, whenever a financial ratio, test or “grower” is to be calculated on a pro forma basis (it being agreed that “grower” baskets are calculated on a pro forma basis), the reference to the “Test Period” for purposes of calculating such financial ratio or test shall be deemed to be a reference to, and shall be based on, the most recently ended Test Period for which internal financial statements of the Borrower are available (as determined in good faith by the Borrower); provided that, the provisions of this sentence shall not apply for purposes of calculating Liquidity, Consolidated Total Assets, Consolidated Total Revenue, Consolidated Total Debt, Consolidated First Lien Net Leverage Ratio, Consolidated Secured Net Leverage Ratio, Consolidated Total Net Leverage Ratio</w:t>
      </w:r>
      <w:r>
        <w:rPr>
          <w:rFonts w:ascii="Times New Roman" w:hAnsi="Times New Roman"/>
          <w:strike/>
          <w:color w:val="FF0000"/>
          <w:sz w:val="22"/>
        </w:rPr>
        <w:t xml:space="preserve">, Free Cash Flow </w:t>
      </w:r>
      <w:r>
        <w:rPr>
          <w:rFonts w:ascii="Times New Roman" w:hAnsi="Times New Roman"/>
          <w:color w:val="000000"/>
          <w:sz w:val="22"/>
        </w:rPr>
        <w:t xml:space="preserve">and Consolidated EBITDA for purposes of determining actual compliance with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 xml:space="preserve">(other than for the purpose of determining pro forma compliance with </w:t>
      </w:r>
      <w:r>
        <w:rPr>
          <w:rFonts w:ascii="Times New Roman" w:hAnsi="Times New Roman"/>
          <w:color w:val="000000"/>
          <w:sz w:val="22"/>
          <w:u w:val="single"/>
        </w:rPr>
        <w:t>Section 6.10</w:t>
      </w:r>
      <w:r>
        <w:rPr>
          <w:rFonts w:ascii="Times New Roman" w:hAnsi="Times New Roman"/>
          <w:color w:val="000000"/>
          <w:sz w:val="22"/>
        </w:rPr>
        <w:t xml:space="preserve">), each of which shall be based on the financial statements delivered pursuant to </w:t>
      </w:r>
      <w:r>
        <w:rPr>
          <w:rFonts w:ascii="Times New Roman" w:hAnsi="Times New Roman"/>
          <w:color w:val="000000"/>
          <w:sz w:val="22"/>
          <w:u w:val="single"/>
        </w:rPr>
        <w:t>Sections 5.01(a)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as applicable, for the relevant Test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For purposes of calculating any financial ratio or test, Specified Transactions (with any incurrence or repayment of any Indebtedness in connection therewith to be subject to </w:t>
      </w:r>
      <w:r>
        <w:rPr>
          <w:rFonts w:ascii="Times New Roman" w:hAnsi="Times New Roman"/>
          <w:color w:val="000000"/>
          <w:sz w:val="22"/>
          <w:u w:val="single"/>
        </w:rPr>
        <w:t>Section 1.14(d)</w:t>
      </w:r>
      <w:r>
        <w:rPr>
          <w:rFonts w:ascii="Times New Roman" w:hAnsi="Times New Roman"/>
          <w:color w:val="000000"/>
          <w:sz w:val="22"/>
        </w:rPr>
        <w:t xml:space="preserve">) that have been made (i) during the applicable Test Period and (ii) if applicable as described in </w:t>
      </w:r>
      <w:r>
        <w:rPr>
          <w:rFonts w:ascii="Times New Roman" w:hAnsi="Times New Roman"/>
          <w:color w:val="000000"/>
          <w:sz w:val="22"/>
          <w:u w:val="single"/>
        </w:rPr>
        <w:t>Section 1.14(a)</w:t>
      </w:r>
      <w:r>
        <w:rPr>
          <w:rFonts w:ascii="Times New Roman" w:hAnsi="Times New Roman"/>
          <w:color w:val="000000"/>
          <w:sz w:val="22"/>
        </w:rPr>
        <w:t xml:space="preserve">, subsequent to such Test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the determination of Consolidated Total Assets, the last day). If since the beginning of any applicable Test Period any Person that subsequently became a Loan Party or was merged, amalgamated or consolidated with or into the Borrower or any of its Subsidiaries that are Loan Parties since the beginning of such Test Period shall have made any Specified Transaction that would have required adjustment pursuant to this </w:t>
      </w:r>
      <w:r>
        <w:rPr>
          <w:rFonts w:ascii="Times New Roman" w:hAnsi="Times New Roman"/>
          <w:color w:val="000000"/>
          <w:sz w:val="22"/>
          <w:u w:val="single"/>
        </w:rPr>
        <w:t>Section 1.14</w:t>
      </w:r>
      <w:r>
        <w:rPr>
          <w:rFonts w:ascii="Times New Roman" w:hAnsi="Times New Roman"/>
          <w:color w:val="000000"/>
          <w:sz w:val="22"/>
        </w:rPr>
        <w:t xml:space="preserve">, then such financial ratio or test (or the calculation of Consolidated Total Assets) shall be calculated to give pro forma effect thereto in accordance with this </w:t>
      </w:r>
      <w:r>
        <w:rPr>
          <w:rFonts w:ascii="Times New Roman" w:hAnsi="Times New Roman"/>
          <w:color w:val="000000"/>
          <w:sz w:val="22"/>
          <w:u w:val="single"/>
        </w:rPr>
        <w:t>Section 1.14</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Whenever pro forma effect is to be given to a Specified Transaction, the pro forma calculations shall be made in good faith by a Responsible Officer of the Borrower and may include,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for the avoidance of doubt, the amount of “run-rate” cost savings, operating expense reductions, other operating improvements, initiatives and cost synergies resulting from or relating to such initiatives and such Specified Transaction projected by the Borrower in good faith to be realizable as a result of actions taken or expected to be taken (calculated on a Pro Forma basis as though such cost savings, operating expense reductions, other operating improvements and cost synergies had been realized on the first day of such period and as if such cost savings, operating expense reductions, other operating improvements and cost synergies were realized during the entirety of such period and such that “run rate” means the full recurring benefit for a period that is associated with any action taken or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pro forma calculation of such financial ratios or tests relating to such initiative or such Specified Transaction (and in respect of any subsequent pro forma calculation in which such Specified Transaction is included); provided that (x) a duly completed certificate signed by a Responsible Officer of the Borrower shall be delivered to the Administrative Agent together with the Compliance Certificate required to be delivered pursuant to </w:t>
      </w:r>
      <w:r>
        <w:rPr>
          <w:rFonts w:ascii="Times New Roman" w:hAnsi="Times New Roman"/>
          <w:color w:val="000000"/>
          <w:sz w:val="22"/>
          <w:u w:val="single"/>
        </w:rPr>
        <w:t>Section 5.01</w:t>
      </w:r>
      <w:r>
        <w:rPr>
          <w:rFonts w:ascii="Times New Roman" w:hAnsi="Times New Roman"/>
          <w:color w:val="000000"/>
          <w:sz w:val="22"/>
        </w:rPr>
        <w:t xml:space="preserve">, certifying that such cost savings, operating expense reductions, other operating improvements and cost synergies are factually supportable and reasonably anticipated to be realizable in the good faith judgment of the Borrower, within 24 months after the consummation of a Specified Transaction (or, in the case of cost savings, operating expense reductions, other operating improvements and cost synergies projected by the Borrower in good faith to be realizable in connection with actions taken prior to the Effective Date, within 24 months after the Effective Date), which is expected to result in such cost savings, expense reductions, other operating improvements or cost synergies and (y) no cost savings, operating expense reductions and cost synergies, integration costs, costs of strategic initiatives or business optimization expenses or costs (including system design and upgrade implementation costs) and restructuring charges shall be added pursuant to this clause (c) to the extent duplicative of any expenses or charges otherwise added to Consolidated EBITDA (or any component thereof), whether through a pro forma adjustment or otherwise, for such period; provided, further, that the aggregate amount of adjustments pursuant to this </w:t>
      </w:r>
      <w:r>
        <w:rPr>
          <w:rFonts w:ascii="Times New Roman" w:hAnsi="Times New Roman"/>
          <w:color w:val="000000"/>
          <w:sz w:val="22"/>
          <w:u w:val="single"/>
        </w:rPr>
        <w:t>Section 1.14(c)</w:t>
      </w:r>
      <w:r>
        <w:rPr>
          <w:color w:val="000000"/>
        </w:rPr>
        <w:t xml:space="preserve"> </w:t>
      </w:r>
      <w:r>
        <w:rPr>
          <w:rFonts w:ascii="Times New Roman" w:hAnsi="Times New Roman"/>
          <w:color w:val="000000"/>
          <w:sz w:val="22"/>
        </w:rPr>
        <w:t>shall be subject to the Combined Cap;</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In the event that the Borrower or any Loan Party incurs (including by assumption or guarantees) or repays (including by redemption, repayment, retirement or extinguishment) any Indebtedness (including Disqualified Equity) included in the calculations of any financial ratio or test (in each case, other than Indebtedness incurred or repaid under any revolving credit facility), (i) during the applicable Test Period or (ii) subject to </w:t>
      </w:r>
      <w:r>
        <w:rPr>
          <w:rFonts w:ascii="Times New Roman" w:hAnsi="Times New Roman"/>
          <w:color w:val="000000"/>
          <w:sz w:val="22"/>
          <w:u w:val="single"/>
        </w:rPr>
        <w:t>Section 1.14(a)</w:t>
      </w:r>
      <w:r>
        <w:rPr>
          <w:color w:val="000000"/>
        </w:rPr>
        <w:t xml:space="preserve"> </w:t>
      </w:r>
      <w:r>
        <w:rPr>
          <w:rFonts w:ascii="Times New Roman" w:hAnsi="Times New Roman"/>
          <w:color w:val="000000"/>
          <w:sz w:val="22"/>
        </w:rPr>
        <w:t>subsequent to the end of the applicable Test Period and prior to or simultaneously with the event for which the calculation of any such ratio is made, then such financial ratio or test shall be calculated giving pro forma effect to such incurrence or repayment of Indebtedness, to the extent required, as if the same had occurred on the last day of the applicable Test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Any provision requiring the pro forma compliance with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shall be made assuming that compliance with Liquidity</w:t>
      </w:r>
      <w:r>
        <w:rPr>
          <w:rFonts w:ascii="Times New Roman" w:hAnsi="Times New Roman"/>
          <w:strike/>
          <w:color w:val="FF0000"/>
          <w:sz w:val="22"/>
        </w:rPr>
        <w:t xml:space="preserve">, Free Cash Flow </w:t>
      </w:r>
      <w:r>
        <w:rPr>
          <w:rFonts w:ascii="Times New Roman" w:hAnsi="Times New Roman"/>
          <w:color w:val="000000"/>
          <w:sz w:val="22"/>
        </w:rPr>
        <w:t>and Consolidated EBITDA pursuant to such Section is required with respect to the most recent Test Period prior to such time.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actually in effect.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connection with any action being taken in connection with a Limited Condition Transaction, for purposes of: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determining compliance with any provision of this Agreement which requires the calculation of any financial ratio or test, including Liquidity</w:t>
      </w:r>
      <w:r>
        <w:rPr>
          <w:rFonts w:ascii="Times New Roman" w:hAnsi="Times New Roman"/>
          <w:strike/>
          <w:color w:val="FF0000"/>
          <w:sz w:val="22"/>
        </w:rPr>
        <w:t xml:space="preserve">, Free Cash Flow </w:t>
      </w:r>
      <w:r>
        <w:rPr>
          <w:rFonts w:ascii="Times New Roman" w:hAnsi="Times New Roman"/>
          <w:color w:val="000000"/>
          <w:sz w:val="22"/>
        </w:rPr>
        <w:t>and Consolidated EBITDA;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testing availability under baskets set forth in this Agreement (including baskets measured as a percentage of Consolidated EBITDA) and determining whether a Default or Event of Default has occurred and is continuing and any bring-down of the representations and warranties contained in any Loan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each case, at the option of the Borrower (the Borrower’s election to exercise such option in connection with any Limited Condition Transaction, an “LCT Election”), the date of determination of whether any such action is permitted hereunder shall be deemed to be the date the definitive agreement or irrevocable notice (which may be conditional) (or in the case of a Limited Condition Transaction that involves some other manner of establishing a binding obligation under local law (including in connection with an acquisition to which the United Kingdom City Code on Takeovers and Mergers (or any equivalent thereof under the laws, rules or regulations in any other applicable jurisdiction) applies, on which a “Rule 2.7 announcement” of a firm intention to make an offer in respect of a target of a Limited Condition Transaction is made (or the equivalent notice under such equivalent laws, rules or regulations in such other applicable jurisdiction)), such other binding obligation to consummate) for such Limited Condition Transaction is entered into or sent, as applicable (the “LCT Test Date”), and if, after giving Pro Forma Effect to the Limited Condition Transaction, the Borrower or any of its Subsidiaries would have been permitted to take such action on the relevant LCT Test Date in compliance with such ratio, test or basket, such ratio, test or basket shall be deemed to have been complied with; provided, that for any determination to be made pursuant to this </w:t>
      </w:r>
      <w:r>
        <w:rPr>
          <w:rFonts w:ascii="Times New Roman" w:hAnsi="Times New Roman"/>
          <w:color w:val="000000"/>
          <w:sz w:val="22"/>
          <w:u w:val="single"/>
        </w:rPr>
        <w:t>Section 1.14(g)</w:t>
      </w:r>
      <w:r>
        <w:rPr>
          <w:rFonts w:ascii="Times New Roman" w:hAnsi="Times New Roman"/>
          <w:color w:val="000000"/>
          <w:sz w:val="22"/>
        </w:rPr>
        <w:t>, the Borrower may, by delivering an LTM Determination Notification, elect to recalculate all such ratios, tests or baskets in respect of the last twelve fiscal months of the Borrower for which monthly financial statements are available in which case such date of redetermination shall thereafter be deemed to be the applicable LCT Test Date. For the avoidance of doubt, if the Borrower has made an LCT Election and any of the ratios, tests or baskets for which compliance was determined or tested as of the LCT Test Date would have failed to have been satisfied as a result of fluctuations in any such ratio, test or basket, including due to fluctuations in Liquidity, Consolidated Total Assets, Consolidated Total Revenue, Consolidated Total Debt, Consolidated First Lien Net Leverage Ratio, Consolidated Secured Net Leverage Ratio, Consolidated Total Net Leverage Ratio</w:t>
      </w:r>
      <w:r>
        <w:rPr>
          <w:rFonts w:ascii="Times New Roman" w:hAnsi="Times New Roman"/>
          <w:strike/>
          <w:color w:val="FF0000"/>
          <w:sz w:val="22"/>
        </w:rPr>
        <w:t xml:space="preserve">, Free Cash Flow </w:t>
      </w:r>
      <w:r>
        <w:rPr>
          <w:rFonts w:ascii="Times New Roman" w:hAnsi="Times New Roman"/>
          <w:color w:val="000000"/>
          <w:sz w:val="22"/>
        </w:rPr>
        <w:t>and Consolidated EBITDA, at or prior to the consummation of the relevant transaction or action, such baskets, tests or ratios will not be deemed to have failed to have been satisfied as a result of such fluctuations. If the Borrower has made an LCT Election for any Limited Condition Transaction, then in connection with any event or transaction occurring after the relevant LCT Test Date and prior to the earlier of the date on which such Limited Condition Transaction is consummated or the date that the definitive document (or in the case of a Limited Condition Transaction that involves some other manner of establishing a binding obligation under local law, such other binding obligation to consummate) or date for redemption, repurchase, defeasance, satisfaction and discharge or repayment specified in an irrevocable notice for such Limited Condition Transaction is terminated, expires or passes, as applicable, without consummation of such Limited Condition Transaction (a “Subsequent Transaction”) in connection with which a ratio, test or basket availability calculation must be made on a Pro Forma Basis or giving Pro Forma Effect to such Subsequent Transaction, for purposes of determining whether such ratio, test or basket availability has been complied with under this Agreement, any such ratio, test or basket shall be required to be satisfied on a Pro Forma Basis assuming such Limited Condition Transaction and other transactions in connection therewith have been consummated.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6.15</w:t>
      </w:r>
    </w:p>
    <w:p>
      <w:pPr>
        <w:pStyle w:val="TextBody"/>
        <w:bidi w:val="0"/>
        <w:spacing w:before="0" w:after="240"/>
        <w:jc w:val="both"/>
        <w:rPr/>
      </w:pPr>
      <w:r>
        <w:rPr>
          <w:rFonts w:ascii="Times New Roman" w:hAnsi="Times New Roman"/>
          <w:color w:val="000000"/>
          <w:sz w:val="22"/>
          <w:u w:val="single"/>
        </w:rPr>
        <w:t>Rounding</w:t>
      </w:r>
      <w:r>
        <w:rPr>
          <w:rFonts w:ascii="Times New Roman" w:hAnsi="Times New Roman"/>
          <w:color w:val="000000"/>
          <w:sz w:val="22"/>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6.16</w:t>
      </w:r>
    </w:p>
    <w:p>
      <w:pPr>
        <w:pStyle w:val="TextBody"/>
        <w:bidi w:val="0"/>
        <w:spacing w:before="0" w:after="240"/>
        <w:jc w:val="both"/>
        <w:rPr/>
      </w:pPr>
      <w:r>
        <w:rPr>
          <w:rFonts w:ascii="Times New Roman" w:hAnsi="Times New Roman"/>
          <w:color w:val="000000"/>
          <w:sz w:val="22"/>
          <w:u w:val="single"/>
        </w:rPr>
        <w:t>Compliance with Certain Sections</w:t>
      </w:r>
      <w:r>
        <w:rPr>
          <w:rFonts w:ascii="Times New Roman" w:hAnsi="Times New Roman"/>
          <w:color w:val="000000"/>
          <w:sz w:val="22"/>
        </w:rPr>
        <w:t xml:space="preserve">. For purposes of determining compliance with any of </w:t>
      </w:r>
      <w:r>
        <w:rPr>
          <w:rFonts w:ascii="Times New Roman" w:hAnsi="Times New Roman"/>
          <w:color w:val="000000"/>
          <w:sz w:val="22"/>
          <w:u w:val="single"/>
        </w:rPr>
        <w:t>Section 5.12</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Sections 6.01</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6.11</w:t>
      </w:r>
      <w:r>
        <w:rPr>
          <w:color w:val="000000"/>
        </w:rPr>
        <w:t xml:space="preserve"> </w:t>
      </w:r>
      <w:r>
        <w:rPr>
          <w:rFonts w:ascii="Times New Roman" w:hAnsi="Times New Roman"/>
          <w:color w:val="000000"/>
          <w:sz w:val="22"/>
        </w:rPr>
        <w:t xml:space="preserve">(other than </w:t>
      </w:r>
      <w:r>
        <w:rPr>
          <w:rFonts w:ascii="Times New Roman" w:hAnsi="Times New Roman"/>
          <w:color w:val="000000"/>
          <w:sz w:val="22"/>
          <w:u w:val="single"/>
        </w:rPr>
        <w:t>Section 6.10</w:t>
      </w:r>
      <w:r>
        <w:rPr>
          <w:rFonts w:ascii="Times New Roman" w:hAnsi="Times New Roman"/>
          <w:color w:val="000000"/>
          <w:sz w:val="22"/>
        </w:rPr>
        <w:t xml:space="preserve">), in the event that any Lien, Investment, Indebtedness (whether at the time of incurrence or upon application of all or a portion of the proceeds thereof), Disposition, Affiliate transaction, contractual obligation, or prepayment of Indebtedness meets the criteria of one, or more than one, of the “baskets” or categories of transactions then permitted pursuant to any clause or subsection of any such section of </w:t>
      </w:r>
      <w:r>
        <w:rPr>
          <w:rFonts w:ascii="Times New Roman" w:hAnsi="Times New Roman"/>
          <w:color w:val="000000"/>
          <w:sz w:val="22"/>
          <w:u w:val="single"/>
        </w:rPr>
        <w:t>Article VI</w:t>
      </w:r>
      <w:r>
        <w:rPr>
          <w:rFonts w:ascii="Times New Roman" w:hAnsi="Times New Roman"/>
          <w:color w:val="000000"/>
          <w:sz w:val="22"/>
        </w:rPr>
        <w:t>, such transaction (or portion thereof) at any time shall be permitted under one or more of such clauses of such Section at the time of such transaction or any later time from time to time, in each case, as determined by the Borrower in its sole discretion at such time and thereafter may be reclassified from time to time within such section by the Borrower in any manner not expressly prohibited by this Agreement. With respect to (x) any amounts incurred (or commitments obtained) or transactions entered into (or consummated or obtained) in reliance on a provision of this Agreement (including the Revolving Facility) that does not require compliance with a financial ratio or test (including the Liquidity, Consolidated Total Assets, Consolidated Total Revenue, Consolidated Total Debt, Consolidated First Lien Net Leverage Ratio, Consolidated Secured Net Leverage Ratio, Consolidated Total Net Leverage Ratio</w:t>
      </w:r>
      <w:r>
        <w:rPr>
          <w:rFonts w:ascii="Times New Roman" w:hAnsi="Times New Roman"/>
          <w:strike/>
          <w:color w:val="FF0000"/>
          <w:sz w:val="22"/>
        </w:rPr>
        <w:t xml:space="preserve">, Free Cash Flow </w:t>
      </w:r>
      <w:r>
        <w:rPr>
          <w:rFonts w:ascii="Times New Roman" w:hAnsi="Times New Roman"/>
          <w:color w:val="000000"/>
          <w:sz w:val="22"/>
        </w:rPr>
        <w:t>and/or Consolidated EBITDA) substantially concurrently with or (y) any amounts incurred (or commitments obtained) or transactions entered into (or consummated or obtained) in reliance on a provision of this Agreement that requires compliance with a financial ratio or test (including the Liquidity, Consolidated Total Assets, Consolidated Total Revenue, Consolidated Total Debt, Consolidated First Lien Net Leverage Ratio, Consolidated Secured Net Leverage Ratio, Consolidated Total Net Leverage Ratio</w:t>
      </w:r>
      <w:r>
        <w:rPr>
          <w:rFonts w:ascii="Times New Roman" w:hAnsi="Times New Roman"/>
          <w:strike/>
          <w:color w:val="FF0000"/>
          <w:sz w:val="22"/>
        </w:rPr>
        <w:t xml:space="preserve">, Free Cash Flow </w:t>
      </w:r>
      <w:r>
        <w:rPr>
          <w:rFonts w:ascii="Times New Roman" w:hAnsi="Times New Roman"/>
          <w:color w:val="000000"/>
          <w:sz w:val="22"/>
        </w:rPr>
        <w:t>and/or Consolidated EBITDA), it is understood and agreed that (a) the amounts and/or transactions in clause (x) shall be disregarded in the calculation of the financial ratio or test applicable to the amounts in clause (y) (for purposes of determining compliance with a financial ratio or test (including the Liquidity, Consolidated Total Assets, Consolidated Total Revenue, Consolidated Total Debt, Consolidated First Lien Net Leverage Ratio, Consolidated Secured Net Leverage Ratio, Consolidated Total Net Leverage Ratio</w:t>
      </w:r>
      <w:r>
        <w:rPr>
          <w:rFonts w:ascii="Times New Roman" w:hAnsi="Times New Roman"/>
          <w:strike/>
          <w:color w:val="FF0000"/>
          <w:sz w:val="22"/>
        </w:rPr>
        <w:t xml:space="preserve">, Free Cash Flow </w:t>
      </w:r>
      <w:r>
        <w:rPr>
          <w:rFonts w:ascii="Times New Roman" w:hAnsi="Times New Roman"/>
          <w:color w:val="000000"/>
          <w:sz w:val="22"/>
        </w:rPr>
        <w:t>and/or Consolidated EBITDA) and (b) such amounts incurred (or commitments obtained) or transactions entered into (or consummated or obtained) pursuant to clause (y) shall only be tested once (at the time of such establishment, incurrence or transaction) and shall not be subject to satisfaction of any additional incurrence test, including in connection with subsequent incurrences under any such established revolving credit facility or delayed draw term loan facility).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6.17</w:t>
      </w:r>
    </w:p>
    <w:p>
      <w:pPr>
        <w:pStyle w:val="TextBody"/>
        <w:bidi w:val="0"/>
        <w:spacing w:before="0" w:after="240"/>
        <w:jc w:val="both"/>
        <w:rPr/>
      </w:pPr>
      <w:r>
        <w:rPr>
          <w:rFonts w:ascii="Times New Roman" w:hAnsi="Times New Roman"/>
          <w:color w:val="000000"/>
          <w:sz w:val="22"/>
          <w:u w:val="single"/>
        </w:rPr>
        <w:t>Timing of Payment or Performance</w:t>
      </w:r>
      <w:r>
        <w:rPr>
          <w:rFonts w:ascii="Times New Roman" w:hAnsi="Times New Roman"/>
          <w:color w:val="000000"/>
          <w:sz w:val="22"/>
        </w:rPr>
        <w:t>. Except as otherwise expressly provided herein,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6.18</w:t>
      </w:r>
    </w:p>
    <w:p>
      <w:pPr>
        <w:pStyle w:val="TextBody"/>
        <w:bidi w:val="0"/>
        <w:spacing w:before="0" w:after="240"/>
        <w:jc w:val="both"/>
        <w:rPr/>
      </w:pPr>
      <w:r>
        <w:rPr>
          <w:rFonts w:ascii="Times New Roman" w:hAnsi="Times New Roman"/>
          <w:color w:val="000000"/>
          <w:sz w:val="22"/>
          <w:u w:val="single"/>
        </w:rPr>
        <w:t>Certifications</w:t>
      </w:r>
      <w:r>
        <w:rPr>
          <w:rFonts w:ascii="Times New Roman" w:hAnsi="Times New Roman"/>
          <w:color w:val="000000"/>
          <w:sz w:val="22"/>
        </w:rPr>
        <w:t>. All certifications to be made hereunder by an officer or representative of a Loan Party shall be made by such person in his or her capacity solely as an officer or a representative of such Loan Party, on such Loan Party’s behalf and not in such Person’s individual capacity.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VII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THE CREDITS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7.01</w:t>
      </w:r>
    </w:p>
    <w:p>
      <w:pPr>
        <w:pStyle w:val="TextBody"/>
        <w:bidi w:val="0"/>
        <w:spacing w:before="0" w:after="240"/>
        <w:jc w:val="both"/>
        <w:rPr/>
      </w:pPr>
      <w:r>
        <w:rPr>
          <w:rFonts w:ascii="Times New Roman" w:hAnsi="Times New Roman"/>
          <w:color w:val="000000"/>
          <w:sz w:val="22"/>
          <w:u w:val="single"/>
        </w:rPr>
        <w:t>Revolving Commitments</w:t>
      </w:r>
      <w:r>
        <w:rPr>
          <w:rFonts w:ascii="Times New Roman" w:hAnsi="Times New Roman"/>
          <w:color w:val="000000"/>
          <w:sz w:val="22"/>
        </w:rPr>
        <w:t xml:space="preserve">. Subject to the terms and conditions set forth herein, each Lender (acting through any of its branches or affiliates other than Excluded Affiliates) severally (and not jointly) agrees to make Revolving Loans in Dollars to the Borrower from time to time during the Availability Period in an aggregate principal amount that will not result (after giving effect to any application of proceeds of such Borrowing pursuant to </w:t>
      </w:r>
      <w:r>
        <w:rPr>
          <w:rFonts w:ascii="Times New Roman" w:hAnsi="Times New Roman"/>
          <w:color w:val="000000"/>
          <w:sz w:val="22"/>
          <w:u w:val="single"/>
        </w:rPr>
        <w:t>Section 2.10</w:t>
      </w:r>
      <w:r>
        <w:rPr>
          <w:rFonts w:ascii="Times New Roman" w:hAnsi="Times New Roman"/>
          <w:color w:val="000000"/>
          <w:sz w:val="22"/>
        </w:rPr>
        <w:t>) in (a) such Lender’s Credit Exposure exceeding such Lender’s Commitment or (b) the Aggregate Credit Exposure exceeding the aggregate Commitments. Within the foregoing limits and subject to the terms and conditions set forth herein, the Borrower may borrow, prepay and reborrow Revolving Loans without premium or penalty.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7.02</w:t>
      </w:r>
    </w:p>
    <w:p>
      <w:pPr>
        <w:pStyle w:val="TextBody"/>
        <w:bidi w:val="0"/>
        <w:spacing w:before="0" w:after="240"/>
        <w:jc w:val="both"/>
        <w:rPr/>
      </w:pPr>
      <w:r>
        <w:rPr>
          <w:rFonts w:ascii="Times New Roman" w:hAnsi="Times New Roman"/>
          <w:color w:val="000000"/>
          <w:sz w:val="22"/>
          <w:u w:val="single"/>
        </w:rPr>
        <w:t>Loans and Borrowings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hAnsi="Times New Roman"/>
          <w:i/>
          <w:color w:val="000000"/>
          <w:sz w:val="22"/>
        </w:rPr>
        <w:t xml:space="preserve">provided </w:t>
      </w:r>
      <w:r>
        <w:rPr>
          <w:rFonts w:ascii="Times New Roman" w:hAnsi="Times New Roman"/>
          <w:color w:val="000000"/>
          <w:sz w:val="22"/>
        </w:rPr>
        <w:t>that the Commitments of the Lenders are several and no Lender shall be responsible for any other Lender’s failure to make Loans as required.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Subject to </w:t>
      </w:r>
      <w:r>
        <w:rPr>
          <w:rFonts w:ascii="Times New Roman" w:hAnsi="Times New Roman"/>
          <w:color w:val="000000"/>
          <w:sz w:val="22"/>
          <w:u w:val="single"/>
        </w:rPr>
        <w:t>Section 2.14</w:t>
      </w:r>
      <w:r>
        <w:rPr>
          <w:rFonts w:ascii="Times New Roman" w:hAnsi="Times New Roman"/>
          <w:color w:val="000000"/>
          <w:sz w:val="22"/>
        </w:rPr>
        <w:t xml:space="preserve">, each Revolving Borrowing shall be comprised entirely of ABR Loans or Term Benchmark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w:t>
      </w:r>
      <w:r>
        <w:rPr>
          <w:rFonts w:ascii="Times New Roman" w:hAnsi="Times New Roman"/>
          <w:color w:val="000000"/>
          <w:sz w:val="22"/>
          <w:u w:val="single"/>
        </w:rPr>
        <w:t>Section 2.14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2.15</w:t>
      </w:r>
      <w:r>
        <w:rPr>
          <w:rFonts w:ascii="Times New Roman" w:hAnsi="Times New Roman"/>
          <w:color w:val="000000"/>
          <w:sz w:val="22"/>
        </w:rPr>
        <w:t xml:space="preserve">, shall apply to such Affiliate to the same extent as to such Lender); </w:t>
      </w:r>
      <w:r>
        <w:rPr>
          <w:rFonts w:ascii="Times New Roman" w:hAnsi="Times New Roman"/>
          <w:i/>
          <w:color w:val="000000"/>
          <w:sz w:val="22"/>
        </w:rPr>
        <w:t xml:space="preserve">provided </w:t>
      </w:r>
      <w:r>
        <w:rPr>
          <w:rFonts w:ascii="Times New Roman" w:hAnsi="Times New Roman"/>
          <w:color w:val="000000"/>
          <w:sz w:val="22"/>
        </w:rPr>
        <w:t>that any exercise of such option shall not affect the obligation of the Borrower to repay such Loan in accordance with the terms of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At the commencement of each Interest Period for any Term Benchmark Revolving Borrowing, such Borrowing shall be in an aggregate amount that is (x) an integral multiple of $100,000 and not less than $500,000 or (y) such lesser amount constituting the remaining undrawn Commitments. At the time that each ABR Revolving Borrowing is made, such Borrowing shall be in an aggregate amount that is (x) an integral multiple of $100,000 and not less than $500,000 or (y) such lesser amount constituting the remaining undrawn Commitments; </w:t>
      </w:r>
      <w:r>
        <w:rPr>
          <w:rFonts w:ascii="Times New Roman" w:hAnsi="Times New Roman"/>
          <w:i/>
          <w:color w:val="000000"/>
          <w:sz w:val="22"/>
        </w:rPr>
        <w:t xml:space="preserve">provided </w:t>
      </w:r>
      <w:r>
        <w:rPr>
          <w:rFonts w:ascii="Times New Roman" w:hAnsi="Times New Roman"/>
          <w:color w:val="000000"/>
          <w:sz w:val="22"/>
        </w:rPr>
        <w:t xml:space="preserve">that an ABR Revolving Borrowing may be in an aggregate amount that is equal to the entire unused balance of the total Commitments or that is required to finance the reimbursement of an LC Disbursement as contemplated by </w:t>
      </w:r>
      <w:r>
        <w:rPr>
          <w:rFonts w:ascii="Times New Roman" w:hAnsi="Times New Roman"/>
          <w:color w:val="000000"/>
          <w:sz w:val="22"/>
          <w:u w:val="single"/>
        </w:rPr>
        <w:t>Section 2.06(e)</w:t>
      </w:r>
      <w:r>
        <w:rPr>
          <w:rFonts w:ascii="Times New Roman" w:hAnsi="Times New Roman"/>
          <w:color w:val="000000"/>
          <w:sz w:val="22"/>
        </w:rPr>
        <w:t xml:space="preserve">. Each Swingline Loan shall be in an amount that is an integral multiple of $100,000 and not less than $100,000. Borrowings of more than one Type and Class may be outstanding at the same time; </w:t>
      </w:r>
      <w:r>
        <w:rPr>
          <w:rFonts w:ascii="Times New Roman" w:hAnsi="Times New Roman"/>
          <w:i/>
          <w:color w:val="000000"/>
          <w:sz w:val="22"/>
        </w:rPr>
        <w:t xml:space="preserve">provided </w:t>
      </w:r>
      <w:r>
        <w:rPr>
          <w:rFonts w:ascii="Times New Roman" w:hAnsi="Times New Roman"/>
          <w:color w:val="000000"/>
          <w:sz w:val="22"/>
        </w:rPr>
        <w:t>that there shall not at any time be more than a total of thirteen (13) Term Benchmark Revolving Borrowings or RFR Borrowings outstanding.</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7.03</w:t>
      </w:r>
    </w:p>
    <w:p>
      <w:pPr>
        <w:pStyle w:val="TextBody"/>
        <w:bidi w:val="0"/>
        <w:spacing w:before="0" w:after="240"/>
        <w:jc w:val="both"/>
        <w:rPr/>
      </w:pPr>
      <w:r>
        <w:rPr>
          <w:rFonts w:ascii="Times New Roman" w:hAnsi="Times New Roman"/>
          <w:color w:val="000000"/>
          <w:sz w:val="22"/>
          <w:u w:val="single"/>
        </w:rPr>
        <w:t>Requests for Revolving Borrowings</w:t>
      </w:r>
      <w:r>
        <w:rPr>
          <w:rFonts w:ascii="Times New Roman" w:hAnsi="Times New Roman"/>
          <w:color w:val="000000"/>
          <w:sz w:val="22"/>
        </w:rPr>
        <w:t xml:space="preserve">. To request a Revolving Borrowing, the Borrower shall notify the Administrative Agent of such request by submitting a Borrowing Request (a) (i) in the case of a Term Benchmark Borrowing, not later than 1:00 p.m., three (3) U.S. Government Securities Business Days before the date of the proposed Borrowing or (ii) in the case of an RFR Borrowing, not later than 1:00 p.m., three (3) U.S. Government Securities Business Days before the date of the proposed Borrowing or (b) in the case of an ABR Borrowing, not later than 1:00 p.m., one Business Day before the date of the proposed Borrowing; </w:t>
      </w:r>
      <w:r>
        <w:rPr>
          <w:rFonts w:ascii="Times New Roman" w:hAnsi="Times New Roman"/>
          <w:i/>
          <w:color w:val="000000"/>
          <w:sz w:val="22"/>
        </w:rPr>
        <w:t xml:space="preserve">provided </w:t>
      </w:r>
      <w:r>
        <w:rPr>
          <w:rFonts w:ascii="Times New Roman" w:hAnsi="Times New Roman"/>
          <w:color w:val="000000"/>
          <w:sz w:val="22"/>
        </w:rPr>
        <w:t xml:space="preserve">that any such notice of an ABR Revolving Borrowing to finance the reimbursement of an LC Disbursement as contemplated by </w:t>
      </w:r>
      <w:r>
        <w:rPr>
          <w:rFonts w:ascii="Times New Roman" w:hAnsi="Times New Roman"/>
          <w:color w:val="000000"/>
          <w:sz w:val="22"/>
          <w:u w:val="single"/>
        </w:rPr>
        <w:t>Section 2.06(e)</w:t>
      </w:r>
      <w:r>
        <w:rPr>
          <w:color w:val="000000"/>
        </w:rPr>
        <w:t xml:space="preserve"> </w:t>
      </w:r>
      <w:r>
        <w:rPr>
          <w:rFonts w:ascii="Times New Roman" w:hAnsi="Times New Roman"/>
          <w:color w:val="000000"/>
          <w:sz w:val="22"/>
        </w:rPr>
        <w:t xml:space="preserve">may be given not later than 1:00 p.m., on the date of the proposed Borrowing; provided, further, notwithstanding anything to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contrary set forth herein, the Borrowing Request to be delivered in connection with the First Amendment may be delivered to the Administrative Agent not later than one (1) Business Day prior to the First Amendment Effective Date. Each such Borrowing Request shall be signed by a Responsible Officer of the Borrower. Each such Borrowing Request shall specify the following information in compliance with </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aggregate amount of the requested Borrowing;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date of such Borrowing, which shall be a Business Day;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whether such Borrowing is to be an ABR Borrowing, a Term Benchmark Borrowing or an RFR Borrowing;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a Term Benchmark Borrowing, the initial Interest Period to be applicable thereto, which shall be a period contemplated by the definition of the term “Interest Period”;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pPr>
      <w:r>
        <w:rPr>
          <w:rFonts w:ascii="Times New Roman" w:hAnsi="Times New Roman"/>
          <w:color w:val="000000"/>
          <w:sz w:val="22"/>
        </w:rPr>
        <w:t xml:space="preserve">the location and number of the Borrower’s account to which funds are to be disbursed, which shall comply with the requirements of </w:t>
      </w:r>
      <w:r>
        <w:rPr>
          <w:rFonts w:ascii="Times New Roman" w:hAnsi="Times New Roman"/>
          <w:color w:val="000000"/>
          <w:sz w:val="22"/>
          <w:u w:val="single"/>
        </w:rPr>
        <w:t>Section 2.07</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no election as to the Type of Revolving Borrowing is specified, then the requested Revolving Borrowing shall be an ABR Borrowing. If no Interest Period is specified with respect to any requested Term Benchmark Revolving Borrowing, then the Borrower shall be deemed to have selected an Interest Period of one (1) month’s duration. Promptly following receipt of a Borrowing Request in accordance with this </w:t>
      </w:r>
      <w:r>
        <w:rPr>
          <w:rFonts w:ascii="Times New Roman" w:hAnsi="Times New Roman"/>
          <w:color w:val="000000"/>
          <w:sz w:val="22"/>
          <w:u w:val="single"/>
        </w:rPr>
        <w:t>Section 2.03</w:t>
      </w:r>
      <w:r>
        <w:rPr>
          <w:rFonts w:ascii="Times New Roman" w:hAnsi="Times New Roman"/>
          <w:color w:val="000000"/>
          <w:sz w:val="22"/>
        </w:rPr>
        <w:t>, the Administrative Agent shall advise each Lender of the details thereof and of the amount of such Lender’s Loan to be made as part of the requested Borrowing.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in no event shall the Borrower be permitted to request pursuant to this </w:t>
        <w:br/>
      </w: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rPr>
        <w:t xml:space="preserve">prior to a Benchmark Transition Event and Benchmark Replacement Date with respect to the Term SOFR Rate, an RFR Loan bearing interest based on Daily Simple SOFR (it being understood and agreed that Daily Simple SOFR shall only apply to the extent provided in </w:t>
      </w:r>
      <w:r>
        <w:rPr>
          <w:rFonts w:ascii="Times New Roman" w:hAnsi="Times New Roman"/>
          <w:color w:val="000000"/>
          <w:sz w:val="22"/>
          <w:u w:val="single"/>
        </w:rPr>
        <w:t>Sections 2.14(a)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2.14(f)</w:t>
      </w:r>
      <w:r>
        <w:rPr>
          <w:rFonts w:ascii="Times New Roman" w:hAnsi="Times New Roman"/>
          <w:color w:val="000000"/>
          <w:sz w:val="22"/>
        </w:rPr>
        <w:t>), as applicable.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7.04</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7.05</w:t>
      </w:r>
    </w:p>
    <w:p>
      <w:pPr>
        <w:pStyle w:val="TextBody"/>
        <w:bidi w:val="0"/>
        <w:spacing w:before="0" w:after="240"/>
        <w:jc w:val="both"/>
        <w:rPr/>
      </w:pPr>
      <w:r>
        <w:rPr>
          <w:rFonts w:ascii="Times New Roman" w:hAnsi="Times New Roman"/>
          <w:color w:val="000000"/>
          <w:sz w:val="22"/>
          <w:u w:val="single"/>
        </w:rPr>
        <w:t>Swingline Loans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Subject to the terms and conditions set forth herein, from time to time during the Availability Period, the Swingline Lender shall make Swingline Loans to the Borrower in an aggregate principal amount at any time outstanding that will not result in (i) the aggregate principal amount of outstanding Swingline Loans made by the Swingline Lender exceeding the Swingline Commitment or (ii) any Lender’s Credit Exposure exceeding its Commitment; </w:t>
      </w:r>
      <w:r>
        <w:rPr>
          <w:rFonts w:ascii="Times New Roman" w:hAnsi="Times New Roman"/>
          <w:i/>
          <w:color w:val="000000"/>
          <w:sz w:val="22"/>
        </w:rPr>
        <w:t xml:space="preserve">provided </w:t>
      </w:r>
      <w:r>
        <w:rPr>
          <w:rFonts w:ascii="Times New Roman" w:hAnsi="Times New Roman"/>
          <w:color w:val="000000"/>
          <w:sz w:val="22"/>
        </w:rPr>
        <w:t>that the Swingline Lender shall not be required to make a Swingline Loan to refinance an outstanding Swingline Loan. Within the foregoing limits and subject to the terms and conditions set forth herein, the Borrower may borrow, prepay and reborrow Swingline Loans without premium or penalty.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request a Swingline Loan, the Borrower shall submit a written notice to the Administrative Agent by email (or transmit by electronic communication if arrangements for such transmission have been approved by the Administrative Agent) not later than 12:00 noon, on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day of a proposed Swingline Loan. Each such notice shall be in a form approved by the Administrative Agent, shall specify the requested date (which shall be a Business Day) and amount of the requested Swingline Loan. The Administrative Agent will promptly advise the Swingline Lender of any such notice received from the Borrower. The Swingline Lender shall make the requested Swingline Loan available to the Borrower by means of a credit to an account of the Borrower with the Administrative Agent designated for such purpose (or, in the case of a Swingline Loan made to finance the reimbursement of an LC Disbursement as provided in </w:t>
      </w:r>
      <w:r>
        <w:rPr>
          <w:rFonts w:ascii="Times New Roman" w:hAnsi="Times New Roman"/>
          <w:color w:val="000000"/>
          <w:sz w:val="22"/>
          <w:u w:val="single"/>
        </w:rPr>
        <w:t>Section 2.06(e)</w:t>
      </w:r>
      <w:r>
        <w:rPr>
          <w:rFonts w:ascii="Times New Roman" w:hAnsi="Times New Roman"/>
          <w:color w:val="000000"/>
          <w:sz w:val="22"/>
        </w:rPr>
        <w:t>, by remittance to the Issuing Bank) by 3:00 p.m., on the requested date of such Swingline Loan.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The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hAnsi="Times New Roman"/>
          <w:color w:val="000000"/>
          <w:sz w:val="22"/>
          <w:u w:val="single"/>
        </w:rPr>
        <w:t>Section 2.07</w:t>
      </w:r>
      <w:r>
        <w:rPr>
          <w:color w:val="000000"/>
        </w:rPr>
        <w:t xml:space="preserve"> </w:t>
      </w:r>
      <w:r>
        <w:rPr>
          <w:rFonts w:ascii="Times New Roman" w:hAnsi="Times New Roman"/>
          <w:color w:val="000000"/>
          <w:sz w:val="22"/>
        </w:rPr>
        <w:t xml:space="preserve">with respect to Loans made by such Lender (and </w:t>
      </w:r>
      <w:r>
        <w:rPr>
          <w:rFonts w:ascii="Times New Roman" w:hAnsi="Times New Roman"/>
          <w:color w:val="000000"/>
          <w:sz w:val="22"/>
          <w:u w:val="single"/>
        </w:rPr>
        <w:t>Section 2.07</w:t>
      </w:r>
      <w:r>
        <w:rPr>
          <w:color w:val="000000"/>
        </w:rPr>
        <w:t xml:space="preserve"> </w:t>
      </w:r>
      <w:r>
        <w:rPr>
          <w:rFonts w:ascii="Times New Roman" w:hAnsi="Times New Roman"/>
          <w:color w:val="000000"/>
          <w:sz w:val="22"/>
        </w:rPr>
        <w:t xml:space="preserve">shall apply, mutatis mutandis,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a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 w:hAnsi="Times New Roman"/>
          <w:i/>
          <w:color w:val="000000"/>
          <w:sz w:val="22"/>
        </w:rPr>
        <w:t xml:space="preserve">provided </w:t>
      </w:r>
      <w:r>
        <w:rPr>
          <w:rFonts w:ascii="Times New Roman" w:hAnsi="Times New Roman"/>
          <w:color w:val="000000"/>
          <w:sz w:val="22"/>
        </w:rPr>
        <w:t>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w:t>
      </w:r>
      <w:r>
        <w:rPr>
          <w:rFonts w:ascii="Times New Roman" w:hAnsi="Times New Roman"/>
          <w:color w:val="000000"/>
          <w:sz w:val="22"/>
          <w:u w:val="single"/>
        </w:rPr>
        <w:t>Section 2.13(a)</w:t>
      </w:r>
      <w:r>
        <w:rPr>
          <w:rFonts w:ascii="Times New Roman" w:hAnsi="Times New Roman"/>
          <w:color w:val="000000"/>
          <w:sz w:val="22"/>
        </w:rPr>
        <w:t xml:space="preserve">. From and after the effective date of any such replacement, (x) the successor Swingline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Subject to the appointment and acceptance of a successor Swingline Lender (which shall be subject to Borrower’s prior written consent), the Swingline Lender may resign as the Swingline Lender at any time upon thirty days’ prior written notice to the Administrative Agent, the Borrower and the Lenders, in which case, the Swingline Lender shall be replaced in accordance with </w:t>
      </w:r>
      <w:r>
        <w:rPr>
          <w:rFonts w:ascii="Times New Roman" w:hAnsi="Times New Roman"/>
          <w:color w:val="000000"/>
          <w:sz w:val="22"/>
          <w:u w:val="single"/>
        </w:rPr>
        <w:t>Section 2.05(e)</w:t>
      </w:r>
      <w:r>
        <w:rPr>
          <w:color w:val="000000"/>
        </w:rPr>
        <w:t xml:space="preserve"> </w:t>
      </w:r>
      <w:r>
        <w:rPr>
          <w:rFonts w:ascii="Times New Roman" w:hAnsi="Times New Roman"/>
          <w:color w:val="000000"/>
          <w:sz w:val="22"/>
        </w:rPr>
        <w:t>above.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Wells Fargo may not resign as a Swingline Lender unless Wells Fargo resigns as the Administrative Agent in accordance with the terms herein.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7.06</w:t>
      </w:r>
    </w:p>
    <w:p>
      <w:pPr>
        <w:pStyle w:val="TextBody"/>
        <w:bidi w:val="0"/>
        <w:spacing w:before="0" w:after="240"/>
        <w:jc w:val="both"/>
        <w:rPr/>
      </w:pPr>
      <w:r>
        <w:rPr>
          <w:rFonts w:ascii="Times New Roman" w:hAnsi="Times New Roman"/>
          <w:color w:val="000000"/>
          <w:sz w:val="22"/>
          <w:u w:val="single"/>
        </w:rPr>
        <w:t>Letters of Credit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Subject to the terms and conditions set forth herein, the Borrower may request any Issuing Bank to issue Letters of Credit denominated in Dollars as the applicant thereof for the support of its or its Subsidiaries’ obligations, in a form reasonably acceptable to such Issuing Bank, at any time and from time to time during the Availability Period.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u w:val="single"/>
        </w:rPr>
        <w:t>Notice of Issuance, Amendment, Extension; Certain Conditions</w:t>
      </w:r>
      <w:r>
        <w:rPr>
          <w:rFonts w:ascii="Times New Roman" w:hAnsi="Times New Roman"/>
          <w:color w:val="000000"/>
          <w:sz w:val="22"/>
        </w:rPr>
        <w:t xml:space="preserve">. To request the issuance of a Letter of Credit (or the amendment or extension of an outstanding Letter of Credit), the Borrower shall deliver (or transmit by electronic communication if arrangements for doing so have been approved by the respective Issuing Bank) to an Issuing Bank selected by it and to the Administrative Agent (reasonably in advance of the requested date of issuance, amendment or extension, but in any event no less than three (3)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w:t>
      </w:r>
      <w:r>
        <w:rPr>
          <w:rFonts w:ascii="Times New Roman" w:hAnsi="Times New Roman"/>
          <w:color w:val="000000"/>
          <w:sz w:val="22"/>
          <w:u w:val="single"/>
        </w:rPr>
        <w:t>Section 2.06</w:t>
      </w:r>
      <w:r>
        <w:rPr>
          <w:rFonts w:ascii="Times New Roman" w:hAnsi="Times New Roman"/>
          <w:color w:val="000000"/>
          <w:sz w:val="22"/>
        </w:rPr>
        <w:t>),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 w:hAnsi="Times New Roman"/>
          <w:b/>
          <w:i/>
          <w:color w:val="000000"/>
          <w:sz w:val="22"/>
        </w:rPr>
        <w:t>Letter of Credit Agreement</w:t>
      </w:r>
      <w:r>
        <w:rPr>
          <w:color w:val="000000"/>
        </w:rPr>
        <w:t>”</w:t>
      </w:r>
      <w:r>
        <w:rPr>
          <w:rFonts w:ascii="Times New Roman" w:hAnsi="Times New Roman"/>
          <w:color w:val="000000"/>
          <w:sz w:val="22"/>
        </w:rPr>
        <w:t xml:space="preserve">). In the event of any conflict between the terms and conditions of this Agreement and the terms and conditions of any Letter of Credit Agreement, the terms and conditions of this Agreement shall control and any Liens granted under such Letter of Credit Agreement shall be void and null. A Letter of Credit shall be issued, amended or extended only if (and upon issuance, amendment or extension of each Letter of Credit the Borrower shall be deemed to represent and warrant that), after giving effect to such issuance, amendment or extension (i) (x)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its Issuing Bank Sublimit, (ii) the LC Exposure shall not exceed the Issuing Bank Sublimit and (iii) no Lender’s Credit Exposure shall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exceed its Commitment. The Borrower may, at any time and from time to time, reduce the Letter of Credit Commitment of any Issuing Bank; </w:t>
      </w:r>
      <w:r>
        <w:rPr>
          <w:rFonts w:ascii="Times New Roman" w:hAnsi="Times New Roman"/>
          <w:i/>
          <w:color w:val="000000"/>
          <w:sz w:val="22"/>
        </w:rPr>
        <w:t xml:space="preserve">provided </w:t>
      </w:r>
      <w:r>
        <w:rPr>
          <w:rFonts w:ascii="Times New Roman" w:hAnsi="Times New Roman"/>
          <w:color w:val="000000"/>
          <w:sz w:val="22"/>
        </w:rPr>
        <w:t>that the Borrower shall not reduce the Letter of Credit Commitment of any Issuing Bank if, after giving effect of such reduction, the conditions set forth in clauses (i) through (iii) above shall not be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Issuing Bank shall not be under any obligation to issue, amend or extend any Letter of Credit if: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order, judgment or decree of any Governmental Authority or arbitrator shall by its terms purport to enjoin or restrain such Issuing Bank from issuing, amending or extending such Letter of Credit, or any Requirement of Law relating to such Issuing Bank or any request or directive (whether or not having the force of law) from any Governmental Authority with jurisdiction over such Issuing Bank shall prohibit, or request that such Issuing Bank reform from, the issuance, amendment or extension of letters of credit generally or such Letter of Credit in particular, or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issuance, amendment or extension of such Letter of Credit would violate one or more policies of such Issuing Bank applicable to letters of credit generally.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u w:val="single"/>
        </w:rPr>
        <w:t>Expiration Date</w:t>
      </w:r>
      <w:r>
        <w:rPr>
          <w:rFonts w:ascii="Times New Roman" w:hAnsi="Times New Roman"/>
          <w:color w:val="000000"/>
          <w:sz w:val="22"/>
        </w:rPr>
        <w:t xml:space="preserve">. Each Letter of Credit shall expire (or be subject to termination or non-extension by notice from the applicable Issuing Bank to the beneficiary thereof) at or prior to the close of business on the earlier of (i) the date that is one year after the date of the issuance of such Letter of Credit (or, in the case of any extension of the expiration date thereof, one year after the then-current expiration date at the time of such extension) and (ii) the date that is five (5) Business Days prior to the Maturity Date; </w:t>
      </w:r>
      <w:r>
        <w:rPr>
          <w:rFonts w:ascii="Times New Roman" w:hAnsi="Times New Roman"/>
          <w:i/>
          <w:color w:val="000000"/>
          <w:sz w:val="22"/>
        </w:rPr>
        <w:t xml:space="preserve">provided </w:t>
      </w:r>
      <w:r>
        <w:rPr>
          <w:rFonts w:ascii="Times New Roman" w:hAnsi="Times New Roman"/>
          <w:color w:val="000000"/>
          <w:sz w:val="22"/>
        </w:rPr>
        <w:t>that any Letter of Credit with a one year tenor may contain customary automatic extension provisions acceptable to the Issuing Bank pursuant to which the expiration date of such Letter of Credit shall be automatically extended for a period of up to twelve (12) months (but not to a date later than the date set forth in clause (ii) above, except to the extent otherwise cash collateralized or backstopped pursuant to arrangements reasonably acceptable to the Issuing Bank and the Administrative Agent as of such date set forth in clause (ii)).</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u w:val="single"/>
        </w:rPr>
        <w:t>Participations</w:t>
      </w:r>
      <w:r>
        <w:rPr>
          <w:rFonts w:ascii="Times New Roman" w:hAnsi="Times New Roman"/>
          <w:color w:val="000000"/>
          <w:sz w:val="22"/>
        </w:rPr>
        <w:t xml:space="preserve">. By the issuance of a Letter of Credit (or an amendment to a Letter of Credit increasing the amount or extending the term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respective Issuing Bank, such Lender’s Applicable Percentage of each LC Disbursement in Dollars made by such Issuing Bank and not reimbursed by the Borrower on the date due as provided in paragraph (e) of this </w:t>
      </w:r>
      <w:r>
        <w:rPr>
          <w:rFonts w:ascii="Times New Roman" w:hAnsi="Times New Roman"/>
          <w:color w:val="000000"/>
          <w:sz w:val="22"/>
          <w:u w:val="single"/>
        </w:rPr>
        <w:t>Section 2.06</w:t>
      </w:r>
      <w:r>
        <w:rPr>
          <w:rFonts w:ascii="Times New Roman" w:hAnsi="Times New Roman"/>
          <w:color w:val="000000"/>
          <w:sz w:val="22"/>
        </w:rPr>
        <w:t xml:space="preserve">, or of any reimbursement payment required to be refunded to the Borrower for any reason, including after the Maturity Date. Each such payment shall be made without any offset, abatement, withholding or reduction whatsoever. Each Lender acknowledges and agrees that its obligations to acquire participations pursuant to this paragraph in respect of Letters of Credit and to make payments in respect of such acquired participations are absolute and unconditional and shall not be affected by any circumstance whatsoever, including any amendment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extension of any Letter of Credit or the occurrence and continuance of a Default or reduction or termination of the Commitments.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u w:val="single"/>
        </w:rPr>
        <w:t>Reimbursement</w:t>
      </w:r>
      <w:r>
        <w:rPr>
          <w:rFonts w:ascii="Times New Roman" w:hAnsi="Times New Roman"/>
          <w:color w:val="000000"/>
          <w:sz w:val="22"/>
        </w:rPr>
        <w:t xml:space="preserve">. If an Issuing Bank shall make any LC Disbursement in respect of a Letter of Credit, the Borrower shall reimburse such LC Disbursement by paying to the Administrative Agent an amount equal to such LC Disbursement not later than 12:00 noon, on the Business Day following the date that such LC Disbursement is made; </w:t>
      </w:r>
      <w:r>
        <w:rPr>
          <w:rFonts w:ascii="Times New Roman" w:hAnsi="Times New Roman"/>
          <w:i/>
          <w:color w:val="000000"/>
          <w:sz w:val="22"/>
        </w:rPr>
        <w:t xml:space="preserve">provided </w:t>
      </w:r>
      <w:r>
        <w:rPr>
          <w:rFonts w:ascii="Times New Roman" w:hAnsi="Times New Roman"/>
          <w:color w:val="000000"/>
          <w:sz w:val="22"/>
        </w:rPr>
        <w:t xml:space="preserve">that, the Borrower may, subject to the conditions to borrowing set forth herein, request in accordance with </w:t>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2.05</w:t>
      </w:r>
      <w:r>
        <w:rPr>
          <w:color w:val="000000"/>
        </w:rPr>
        <w:t xml:space="preserve"> </w:t>
      </w:r>
      <w:r>
        <w:rPr>
          <w:rFonts w:ascii="Times New Roman" w:hAnsi="Times New Roman"/>
          <w:color w:val="000000"/>
          <w:sz w:val="22"/>
        </w:rPr>
        <w:t>that such payment be financed with an ABR Revolving Borrowing or Swingline Loan in an equivalent amount, to the extent so financed, the Borrower’s obligation to make such payment shall be discharged and replaced by the resulting ABR Revolving Borrowing or Swingline Loan, as applicable.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w:t>
      </w:r>
      <w:r>
        <w:rPr>
          <w:color w:val="000000"/>
          <w:u w:val="single"/>
        </w:rPr>
        <w:t xml:space="preserve"> </w:t>
      </w:r>
      <w:r>
        <w:rPr>
          <w:rFonts w:ascii="Times New Roman" w:hAnsi="Times New Roman"/>
          <w:color w:val="000000"/>
          <w:sz w:val="22"/>
        </w:rPr>
        <w:t xml:space="preserve">shall pay to the Administrative Agent its Applicable Percentage of the payment then due from the Borrower, in the same manner as provided in </w:t>
      </w:r>
      <w:r>
        <w:rPr>
          <w:rFonts w:ascii="Times New Roman" w:hAnsi="Times New Roman"/>
          <w:color w:val="000000"/>
          <w:sz w:val="22"/>
          <w:u w:val="single"/>
        </w:rPr>
        <w:t>Section 2.07</w:t>
      </w:r>
      <w:r>
        <w:rPr>
          <w:color w:val="000000"/>
        </w:rPr>
        <w:t xml:space="preserve"> </w:t>
      </w:r>
      <w:r>
        <w:rPr>
          <w:rFonts w:ascii="Times New Roman" w:hAnsi="Times New Roman"/>
          <w:color w:val="000000"/>
          <w:sz w:val="22"/>
        </w:rPr>
        <w:t xml:space="preserve">with respect to Loans made by such Lender (and </w:t>
      </w:r>
      <w:r>
        <w:rPr>
          <w:rFonts w:ascii="Times New Roman" w:hAnsi="Times New Roman"/>
          <w:color w:val="000000"/>
          <w:sz w:val="22"/>
          <w:u w:val="single"/>
        </w:rPr>
        <w:t>Section 2.07</w:t>
      </w:r>
      <w:r>
        <w:rPr>
          <w:color w:val="000000"/>
        </w:rPr>
        <w:t xml:space="preserve"> </w:t>
      </w:r>
      <w:r>
        <w:rPr>
          <w:rFonts w:ascii="Times New Roman" w:hAnsi="Times New Roman"/>
          <w:color w:val="000000"/>
          <w:sz w:val="22"/>
        </w:rPr>
        <w:t xml:space="preserve">shall apply, </w:t>
      </w:r>
      <w:r>
        <w:rPr>
          <w:rFonts w:ascii="Times New Roman" w:hAnsi="Times New Roman"/>
          <w:color w:val="000000"/>
          <w:sz w:val="22"/>
          <w:u w:val="single"/>
        </w:rPr>
        <w:t>mutatis</w:t>
      </w:r>
      <w:r>
        <w:rPr>
          <w:color w:val="000000"/>
        </w:rPr>
        <w:t xml:space="preserve"> </w:t>
      </w:r>
      <w:r>
        <w:rPr>
          <w:rFonts w:ascii="Times New Roman" w:hAnsi="Times New Roman"/>
          <w:color w:val="000000"/>
          <w:sz w:val="22"/>
          <w:u w:val="single"/>
        </w:rPr>
        <w:t>mutandis</w:t>
      </w:r>
      <w:r>
        <w:rPr>
          <w:rFonts w:ascii="Times New Roman" w:hAnsi="Times New Roman"/>
          <w:color w:val="000000"/>
          <w:sz w:val="22"/>
        </w:rPr>
        <w:t>, to the payment obligations of the Lenders), and the Administrative Agent shall promptly pay to the respective Issuing Bank the amounts so received by it from the Lenders. Promptly following receipt by the Administrative Agent of any payment from the Borrower pursuant to this paragraph, the Administrative Agent shall distribute such payment to the respective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ABR Revolving Loans or a Swingline Loan as contemplated above) shall not constitute a Loan and shall not relieve the Borrower of its obligation to reimburse such LC Disbursement.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u w:val="single"/>
        </w:rPr>
        <w:t>Obli</w:t>
      </w:r>
      <w:r>
        <w:rPr>
          <w:rFonts w:ascii="Times New Roman" w:hAnsi="Times New Roman"/>
          <w:color w:val="000000"/>
          <w:sz w:val="22"/>
        </w:rPr>
        <w:t>g</w:t>
      </w:r>
      <w:r>
        <w:rPr>
          <w:rFonts w:ascii="Times New Roman" w:hAnsi="Times New Roman"/>
          <w:color w:val="000000"/>
          <w:sz w:val="22"/>
          <w:u w:val="single"/>
        </w:rPr>
        <w:t>ations Absolute</w:t>
      </w:r>
      <w:r>
        <w:rPr>
          <w:rFonts w:ascii="Times New Roman" w:hAnsi="Times New Roman"/>
          <w:color w:val="000000"/>
          <w:sz w:val="22"/>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Times New Roman" w:hAnsi="Times New Roman"/>
          <w:i/>
          <w:color w:val="000000"/>
          <w:sz w:val="22"/>
        </w:rPr>
        <w:t xml:space="preserve">provided </w:t>
      </w:r>
      <w:r>
        <w:rPr>
          <w:rFonts w:ascii="Times New Roman" w:hAnsi="Times New Roman"/>
          <w:color w:val="000000"/>
          <w:sz w:val="22"/>
        </w:rPr>
        <w:t xml:space="preserve">that the foregoing shall not be construed to excuse an Issuing Bank from liability to the Borrower to the extent of any direct damages (as opposed to special, indirect, consequential or punitive damages, claims in respect of which are hereby waived by the Borrower to the extent permitted by applicable law) suffered by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that are caused by such Issuing Bank’s failure to exercise care when determining whether drafts and other documents presented under a Letter of Credit comply with the terms thereof. The parties hereto expressly agree that, in the absence of gross negligence, bad faith, material breach of this Agreement or the other Loan Documents, or willful misconduct on the part of an Issuing Bank or Related Party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u w:val="single"/>
        </w:rPr>
        <w:t>Disbursement Procedures</w:t>
      </w:r>
      <w:r>
        <w:rPr>
          <w:rFonts w:ascii="Times New Roman" w:hAnsi="Times New Roman"/>
          <w:color w:val="000000"/>
          <w:sz w:val="22"/>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by telephone and email of such demand for payment if such Issuing Bank has made or will make an LC Disbursement thereunder; </w:t>
      </w:r>
      <w:r>
        <w:rPr>
          <w:rFonts w:ascii="Times New Roman" w:hAnsi="Times New Roman"/>
          <w:i/>
          <w:color w:val="000000"/>
          <w:sz w:val="22"/>
        </w:rPr>
        <w:t xml:space="preserve">provided </w:t>
      </w:r>
      <w:r>
        <w:rPr>
          <w:rFonts w:ascii="Times New Roman" w:hAnsi="Times New Roman"/>
          <w:color w:val="000000"/>
          <w:sz w:val="22"/>
        </w:rPr>
        <w:t>that such notice need not be given prior to payment by the Issuing Bank and any failure to give or delay in giving such notice shall not relieve the Borrower of its obligation to reimburse such Issuing Bank and the Lenders with respect to any such LC Disbursement.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pPr>
      <w:r>
        <w:rPr>
          <w:rFonts w:ascii="Times New Roman" w:hAnsi="Times New Roman"/>
          <w:color w:val="000000"/>
          <w:sz w:val="22"/>
          <w:u w:val="single"/>
        </w:rPr>
        <w:t>Interim Interest</w:t>
      </w:r>
      <w:r>
        <w:rPr>
          <w:rFonts w:ascii="Times New Roman" w:hAnsi="Times New Roman"/>
          <w:color w:val="000000"/>
          <w:sz w:val="22"/>
        </w:rPr>
        <w:t xml:space="preserve">. If the Issuing Bank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Times New Roman" w:hAnsi="Times New Roman"/>
          <w:i/>
          <w:color w:val="000000"/>
          <w:sz w:val="22"/>
        </w:rPr>
        <w:t xml:space="preserve">provided </w:t>
      </w:r>
      <w:r>
        <w:rPr>
          <w:rFonts w:ascii="Times New Roman" w:hAnsi="Times New Roman"/>
          <w:color w:val="000000"/>
          <w:sz w:val="22"/>
        </w:rPr>
        <w:t xml:space="preserve">that, if the Borrower fails to reimburse such LC Disbursement when due pursuant to paragraph (e) of this Section, then </w:t>
      </w:r>
      <w:r>
        <w:rPr>
          <w:rFonts w:ascii="Times New Roman" w:hAnsi="Times New Roman"/>
          <w:color w:val="000000"/>
          <w:sz w:val="22"/>
          <w:u w:val="single"/>
        </w:rPr>
        <w:t>Section 2.13(d)</w:t>
      </w:r>
      <w:r>
        <w:rPr>
          <w:color w:val="000000"/>
        </w:rPr>
        <w:t xml:space="preserve"> </w:t>
      </w:r>
      <w:r>
        <w:rPr>
          <w:rFonts w:ascii="Times New Roman" w:hAnsi="Times New Roman"/>
          <w:color w:val="000000"/>
          <w:sz w:val="22"/>
        </w:rPr>
        <w:t>shall apply. Interest accrued pursuant to this paragraph shall be for the account of such Issuing Bank, except that interest accrued on and after the date of payment by any Lender pursuant to paragraph (e) of this Section to reimburse such Issuing Bank for such LC Disbursement shall be for the account of such Lender to the extent of such payment.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Replacement and Resignation of an Issuing Bank.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 xml:space="preserve">An Issuing Bank may be appointed and/or replaced at any time by written agreement among the Borrower, the Administrative Agent, the replaced Issuing Bank, if applicable, and the successor Issuing Bank. The Administrative Agent shall notify the Lenders of any such replacement or appointment of an Issuing Bank. At the time any such replacement shall become effective, the Borrower shall pay all unpaid fees accrued for the account of the replaced Issuing Bank pursuant to </w:t>
      </w:r>
      <w:r>
        <w:rPr>
          <w:rFonts w:ascii="Times New Roman" w:hAnsi="Times New Roman"/>
          <w:color w:val="000000"/>
          <w:sz w:val="22"/>
          <w:u w:val="single"/>
        </w:rPr>
        <w:t>Section 2.12(b)</w:t>
      </w:r>
      <w:r>
        <w:rPr>
          <w:rFonts w:ascii="Times New Roman" w:hAnsi="Times New Roman"/>
          <w:color w:val="000000"/>
          <w:sz w:val="22"/>
        </w:rPr>
        <w:t xml:space="preserve">. From and after the effective date of any such replacement or appointment, (x) the successor or appointed Issuing Bank shall have all the rights and obligations of an Issuing Bank under this Agreement with respect to Letters of Credit to be issued by it thereafter and (y) references herein to the term “Issuing Bank” shall be deemed to refer to such successor or to any previous Issuing Bank, or to such successor and all previous Issuing Banks or the appointed Issuing Bank, as the context shall require. After the replacement of an Issuing Bank hereunder, the replaced Issuing Bank shall remain a party hereto and shall continue to have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the rights and obligations of an Issuing Bank under this Agreement with respect to Letters of Credit issued by it prior to such replacement, but shall not be required to issue additional Letters of Credit or extend or otherwise amend any existing Letter of Credit.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 xml:space="preserve">Subject to the appointment and acceptance of a successor Issuing Bank (which shall be subject to Borrower’s prior written consent), any Issuing Bank may resign as an Issuing Bank at any time upon thirty (30) days’ prior written notice to the Administrative Agent, the Borrower and the Lenders, in which case, such resigning Issuing Bank shall be replaced in accordance with </w:t>
      </w:r>
      <w:r>
        <w:rPr>
          <w:rFonts w:ascii="Times New Roman" w:hAnsi="Times New Roman"/>
          <w:color w:val="000000"/>
          <w:sz w:val="22"/>
          <w:u w:val="single"/>
        </w:rPr>
        <w:t>Section 2.06(i)(i)</w:t>
      </w:r>
      <w:r>
        <w:rPr>
          <w:color w:val="000000"/>
        </w:rPr>
        <w:t xml:space="preserve"> </w:t>
      </w:r>
      <w:r>
        <w:rPr>
          <w:rFonts w:ascii="Times New Roman" w:hAnsi="Times New Roman"/>
          <w:color w:val="000000"/>
          <w:sz w:val="22"/>
        </w:rPr>
        <w:t>above.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Wells Fargo may not resign as an Issuing Bank unless Wells Fargo resigns as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pPr>
      <w:r>
        <w:rPr>
          <w:rFonts w:ascii="Times New Roman" w:hAnsi="Times New Roman"/>
          <w:color w:val="000000"/>
          <w:sz w:val="22"/>
          <w:u w:val="single"/>
        </w:rPr>
        <w:t>Cash Collateralization</w:t>
      </w:r>
      <w:r>
        <w:rPr>
          <w:rFonts w:ascii="Times New Roman" w:hAnsi="Times New Roman"/>
          <w:color w:val="000000"/>
          <w:sz w:val="22"/>
        </w:rPr>
        <w:t>. If any Event of Default shall occur and be continuing, on the Business Day after the date the Borrower receives written notice from the Administrative Agent (on behalf of the Required Lenders) or the Required Lenders (or, if the maturity of the Loans has been accelerated, Lenders with LC Exposure representing greater than 50% of the total LC Exposure) demanding the deposit of cash collateral pursuant to this paragraph, the Borrower shall deposit in an account or accounts with the Administrative Agent, in the name of the Administrative Agent and for the benefit of the Lenders, or that is subject to a control agreement (the “</w:t>
      </w:r>
      <w:r>
        <w:rPr>
          <w:rFonts w:ascii="Times New Roman" w:hAnsi="Times New Roman"/>
          <w:b/>
          <w:i/>
          <w:color w:val="000000"/>
          <w:sz w:val="22"/>
        </w:rPr>
        <w:t>LC Collateral Account</w:t>
      </w:r>
      <w:r>
        <w:rPr>
          <w:color w:val="000000"/>
        </w:rPr>
        <w:t>”</w:t>
      </w:r>
      <w:r>
        <w:rPr>
          <w:rFonts w:ascii="Times New Roman" w:hAnsi="Times New Roman"/>
          <w:color w:val="000000"/>
          <w:sz w:val="22"/>
        </w:rPr>
        <w:t xml:space="preserve">), an amount in cash (or in a manner otherwise acceptable to the Administrative Agent) equal to 101% of the LC Exposure as of such date plus any accrued and unpaid interest thereon; </w:t>
      </w:r>
      <w:r>
        <w:rPr>
          <w:rFonts w:ascii="Times New Roman" w:hAnsi="Times New Roman"/>
          <w:i/>
          <w:color w:val="000000"/>
          <w:sz w:val="22"/>
        </w:rPr>
        <w:t xml:space="preserve">provided </w:t>
      </w:r>
      <w:r>
        <w:rPr>
          <w:rFonts w:ascii="Times New Roman" w:hAnsi="Times New Roman"/>
          <w:color w:val="000000"/>
          <w:sz w:val="22"/>
        </w:rPr>
        <w:t xml:space="preserve">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w:t>
      </w:r>
      <w:r>
        <w:rPr>
          <w:rFonts w:ascii="Times New Roman" w:hAnsi="Times New Roman"/>
          <w:color w:val="000000"/>
          <w:sz w:val="22"/>
          <w:u w:val="single"/>
        </w:rPr>
        <w:t>Article VII</w:t>
      </w:r>
      <w:r>
        <w:rPr>
          <w:rFonts w:ascii="Times New Roman" w:hAnsi="Times New Roman"/>
          <w:color w:val="000000"/>
          <w:sz w:val="22"/>
        </w:rPr>
        <w:t xml:space="preserve">. The Borrower also shall deposit cash collateral in accordance with this paragraph as and to the extent required by </w:t>
      </w:r>
      <w:r>
        <w:rPr>
          <w:rFonts w:ascii="Times New Roman" w:hAnsi="Times New Roman"/>
          <w:color w:val="000000"/>
          <w:sz w:val="22"/>
          <w:u w:val="single"/>
        </w:rPr>
        <w:t>Section 2.11(b)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2.20</w:t>
      </w:r>
      <w:r>
        <w:rPr>
          <w:rFonts w:ascii="Times New Roman" w:hAnsi="Times New Roman"/>
          <w:color w:val="000000"/>
          <w:sz w:val="22"/>
        </w:rPr>
        <w:t>. Such deposit shall be held by the Administrative Agent as collateral for the payment and performance of the Secured Obligations of the Borrower under this Agreement. In addition, and without limiting the foregoing or paragraph (c) of this Section, if any LC Exposure remain outstanding after the expiration date specified in said paragraph (c), the Borrower shall immediately deposit into the LC Collateral Account an amount in cash equal to 101% of such LC Exposure as of such date plus any accrued and unpaid interest thereon.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Administrative Agent shall have exclusive dominion and control, including the exclusive right of withdrawal, over the LC Collateral Account and the Borrower hereby grant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benefit,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Obligations in accordance with </w:t>
        <w:br/>
      </w:r>
      <w:r>
        <w:rPr>
          <w:rFonts w:ascii="Times New Roman" w:hAnsi="Times New Roman"/>
          <w:color w:val="000000"/>
          <w:sz w:val="22"/>
          <w:u w:val="single"/>
        </w:rPr>
        <w:t>Section 2.18</w:t>
      </w:r>
      <w:r>
        <w:rPr>
          <w:rFonts w:ascii="Times New Roman" w:hAnsi="Times New Roman"/>
          <w:color w:val="000000"/>
          <w:sz w:val="22"/>
        </w:rPr>
        <w:t>. If the Borrower is required to provide an amount of cash collateral hereunder as a result of the occurrence of an Event of Default, such amount (including all accrued interest) (to the extent not applied as aforesaid) shall be returned to the Borrower within three (3) Business Days after all Events of Default have been cured or waived.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pPr>
      <w:r>
        <w:rPr>
          <w:rFonts w:ascii="Times New Roman" w:hAnsi="Times New Roman"/>
          <w:color w:val="000000"/>
          <w:sz w:val="22"/>
          <w:u w:val="single"/>
        </w:rPr>
        <w:t>Letters of Credit Issued for Account of Subsidiaries</w:t>
      </w:r>
      <w:r>
        <w:rPr>
          <w:rFonts w:ascii="Times New Roman" w:hAnsi="Times New Roman"/>
          <w:color w:val="000000"/>
          <w:sz w:val="22"/>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(to the extent permitted by applicable law)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7.07</w:t>
      </w:r>
    </w:p>
    <w:p>
      <w:pPr>
        <w:pStyle w:val="TextBody"/>
        <w:bidi w:val="0"/>
        <w:spacing w:before="0" w:after="240"/>
        <w:jc w:val="both"/>
        <w:rPr/>
      </w:pPr>
      <w:r>
        <w:rPr>
          <w:rFonts w:ascii="Times New Roman" w:hAnsi="Times New Roman"/>
          <w:color w:val="000000"/>
          <w:sz w:val="22"/>
          <w:u w:val="single"/>
        </w:rPr>
        <w:t>Funding of Borrowings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Each Lender shall make each Loan to be made by it hereunder on the proposed date thereof solely by wire transfer of immediately available funds, by 12:00 noon, to the account of the Administrative Agent most recently designated by it for such purpose by notice to the Lenders in an amount equal to such Lender’s Applicable Percentage; </w:t>
      </w:r>
      <w:r>
        <w:rPr>
          <w:rFonts w:ascii="Times New Roman" w:hAnsi="Times New Roman"/>
          <w:i/>
          <w:color w:val="000000"/>
          <w:sz w:val="22"/>
        </w:rPr>
        <w:t xml:space="preserve">provided </w:t>
      </w:r>
      <w:r>
        <w:rPr>
          <w:rFonts w:ascii="Times New Roman" w:hAnsi="Times New Roman"/>
          <w:color w:val="000000"/>
          <w:sz w:val="22"/>
        </w:rPr>
        <w:t xml:space="preserve">that Swingline Loans shall be made as provided in </w:t>
      </w:r>
      <w:r>
        <w:rPr>
          <w:rFonts w:ascii="Times New Roman" w:hAnsi="Times New Roman"/>
          <w:color w:val="000000"/>
          <w:sz w:val="22"/>
          <w:u w:val="single"/>
        </w:rPr>
        <w:t>Section 2.05</w:t>
      </w:r>
      <w:r>
        <w:rPr>
          <w:rFonts w:ascii="Times New Roman" w:hAnsi="Times New Roman"/>
          <w:color w:val="000000"/>
          <w:sz w:val="22"/>
        </w:rPr>
        <w:t xml:space="preserve">. Except in respect of the provisions of this Agreement covering the reimbursement of Letters of Credit, the Administrative Agent will make such Loans available to the Borrower by promptly crediting the funds so received in the aforesaid account of the Administrative Agent to the Funding Account(s); </w:t>
      </w:r>
      <w:r>
        <w:rPr>
          <w:rFonts w:ascii="Times New Roman" w:hAnsi="Times New Roman"/>
          <w:i/>
          <w:color w:val="000000"/>
          <w:sz w:val="22"/>
        </w:rPr>
        <w:t xml:space="preserve">provided </w:t>
      </w:r>
      <w:r>
        <w:rPr>
          <w:rFonts w:ascii="Times New Roman" w:hAnsi="Times New Roman"/>
          <w:color w:val="000000"/>
          <w:sz w:val="22"/>
        </w:rPr>
        <w:t xml:space="preserve">that ABR Revolving Loans made to finance the reimbursement of an LC Disbursement as provided in </w:t>
      </w:r>
      <w:r>
        <w:rPr>
          <w:rFonts w:ascii="Times New Roman" w:hAnsi="Times New Roman"/>
          <w:color w:val="000000"/>
          <w:sz w:val="22"/>
          <w:u w:val="single"/>
        </w:rPr>
        <w:t>Section 2.06(e)</w:t>
      </w:r>
      <w:r>
        <w:rPr>
          <w:color w:val="000000"/>
        </w:rPr>
        <w:t xml:space="preserve"> </w:t>
      </w:r>
      <w:r>
        <w:rPr>
          <w:rFonts w:ascii="Times New Roman" w:hAnsi="Times New Roman"/>
          <w:color w:val="000000"/>
          <w:sz w:val="22"/>
        </w:rPr>
        <w:t>shall be remitted by the Administrative Agent to the Issuing Bank.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w:t>
      </w:r>
      <w:r>
        <w:rPr>
          <w:rFonts w:ascii="Times New Roman" w:hAnsi="Times New Roman"/>
          <w:i/>
          <w:color w:val="000000"/>
          <w:sz w:val="22"/>
        </w:rPr>
        <w:t xml:space="preserve">provided </w:t>
      </w:r>
      <w:r>
        <w:rPr>
          <w:rFonts w:ascii="Times New Roman" w:hAnsi="Times New Roman"/>
          <w:color w:val="000000"/>
          <w:sz w:val="22"/>
        </w:rPr>
        <w:t>that any interest received from the Borrower by the Administrative Agent during the period beginning when Administrative Agent funded the Borrowing until such Lender pays such amount shall be solely for the account of the Administrative Agent.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7.08</w:t>
      </w:r>
    </w:p>
    <w:p>
      <w:pPr>
        <w:pStyle w:val="TextBody"/>
        <w:bidi w:val="0"/>
        <w:spacing w:before="0" w:after="240"/>
        <w:jc w:val="both"/>
        <w:rPr/>
      </w:pPr>
      <w:r>
        <w:rPr>
          <w:rFonts w:ascii="Times New Roman" w:hAnsi="Times New Roman"/>
          <w:color w:val="000000"/>
          <w:sz w:val="22"/>
          <w:u w:val="single"/>
        </w:rPr>
        <w:t>Interest Elections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Revolving Borrowing initially shall be of the Type specified in the applicable Borrowing Request and, in the case of a Term Benchmark Revolving Borrowing, shall have an initial Interest Period as specified in such Borrowing Request. Thereafter, the Borrower may elect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to convert such Borrowing to a different Type or to continue such Borrowing and, in the case of a Term Benchmark Revolving Borrowing, may elect Interest Periods therefor, all as provided in this </w:t>
      </w:r>
      <w:r>
        <w:rPr>
          <w:rFonts w:ascii="Times New Roman" w:hAnsi="Times New Roman"/>
          <w:color w:val="000000"/>
          <w:sz w:val="22"/>
          <w:u w:val="single"/>
        </w:rPr>
        <w:t>Section 2.08</w:t>
      </w:r>
      <w:r>
        <w:rPr>
          <w:rFonts w:ascii="Times New Roman" w:hAnsi="Times New Roman"/>
          <w:color w:val="000000"/>
          <w:sz w:val="22"/>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To make an election pursuant to this Section, the Borrower shall notify the Administrative Agent of such election by the time that a Borrowing Request would be required under </w:t>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if the Borrower were requesting a Revolving Borrowing of the Type resulting from such election to be made on the effective date of such election. Each such Interest Election Request shall be signed by a Responsible Officer of the Borrower.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Each Interest Election Request shall specify the following information in compliance with </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effective date of the election made pursuant to such Interest Election Request, which shall be a Business Day;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whether the resulting Borrowing is to be an ABR Borrowing or a Term Benchmark Borrowing;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resulting Borrowing is a Term Benchmark Borrowing, the Interest Period to be applicable thereto after giving effect to such election, which shall be a period contemplated by the definition of the term “Interest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such Interest Election Request requests a Term Benchmark Borrowing but does not specify an Interest Period, then the Borrower shall be deemed to have selected an Interest Period of one (1) month’s duration.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in no event shall the Borrower be permitted to request pursuant to this </w:t>
        <w:br/>
      </w:r>
      <w:r>
        <w:rPr>
          <w:rFonts w:ascii="Times New Roman" w:hAnsi="Times New Roman"/>
          <w:color w:val="000000"/>
          <w:sz w:val="22"/>
          <w:u w:val="single"/>
        </w:rPr>
        <w:t>Section 2.08(c)</w:t>
      </w:r>
      <w:r>
        <w:rPr>
          <w:rFonts w:ascii="Times New Roman" w:hAnsi="Times New Roman"/>
          <w:color w:val="000000"/>
          <w:sz w:val="20"/>
        </w:rPr>
        <w:t xml:space="preserve"> </w:t>
      </w:r>
      <w:r>
        <w:rPr>
          <w:rFonts w:ascii="Times New Roman" w:hAnsi="Times New Roman"/>
          <w:color w:val="000000"/>
          <w:sz w:val="22"/>
        </w:rPr>
        <w:t xml:space="preserve">prior to a Benchmark Transition Event and Benchmark Replacement Date with respect to the Term SOFR Rate, an RFR Loan bearing interest based on Daily Simple SOFR (it being understood and agreed that Daily Simple SOFR shall only apply to the extent provided in </w:t>
      </w:r>
      <w:r>
        <w:rPr>
          <w:rFonts w:ascii="Times New Roman" w:hAnsi="Times New Roman"/>
          <w:color w:val="000000"/>
          <w:sz w:val="22"/>
          <w:u w:val="single"/>
        </w:rPr>
        <w:t>Sections 2.14(a)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2.14(f)</w:t>
      </w:r>
      <w:r>
        <w:rPr>
          <w:rFonts w:ascii="Times New Roman" w:hAnsi="Times New Roman"/>
          <w:color w:val="000000"/>
          <w:sz w:val="22"/>
        </w:rPr>
        <w:t>), as applicable.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following receipt of an Interest Election Request, the Administrative Agent shall advise each Lender of the details thereof and of such Lender’s portion of each resulting Borrowing.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 Borrower fails to deliver a timely Interest Election Request with respect to a Term Benchmark Revolving Borrowing prior to the end of the Interest Period applicable thereto, then, unless such Borrowing is repaid as provided herein, at the end of such Interest Period such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Borrowing shall be deemed to have an Interest Period of one (1) month. Notwithstanding any contrary provision hereof, if an Event of Default under </w:t>
      </w:r>
      <w:r>
        <w:rPr>
          <w:rFonts w:ascii="Times New Roman" w:hAnsi="Times New Roman"/>
          <w:color w:val="000000"/>
          <w:sz w:val="22"/>
          <w:u w:val="single"/>
        </w:rPr>
        <w:t>Section 7.01(a)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color w:val="000000"/>
        </w:rPr>
        <w:t xml:space="preserve"> </w:t>
      </w:r>
      <w:r>
        <w:rPr>
          <w:rFonts w:ascii="Times New Roman" w:hAnsi="Times New Roman"/>
          <w:color w:val="000000"/>
          <w:sz w:val="22"/>
        </w:rPr>
        <w:t xml:space="preserve">has occurred and is continuing and the Administrative Agent, at the request of the Required Lenders, so notifies the Borrower, then, so long as an Event of Default under </w:t>
      </w:r>
      <w:r>
        <w:rPr>
          <w:rFonts w:ascii="Times New Roman" w:hAnsi="Times New Roman"/>
          <w:color w:val="000000"/>
          <w:sz w:val="22"/>
          <w:u w:val="single"/>
        </w:rPr>
        <w:t>Section 7.01(a)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color w:val="000000"/>
        </w:rPr>
        <w:t xml:space="preserve"> </w:t>
      </w:r>
      <w:r>
        <w:rPr>
          <w:rFonts w:ascii="Times New Roman" w:hAnsi="Times New Roman"/>
          <w:color w:val="000000"/>
          <w:sz w:val="22"/>
        </w:rPr>
        <w:t>is continuing (i) no outstanding Revolving Borrowing may be converted to or continued as a Term Benchmark Borrowing or an RFR Borrowing and (ii) unless repaid, (A) each Term Benchmark Borrowing shall be converted to an ABR Borrowing at the end of the Interest Period applicable thereto and (B) each RFR Borrowing shall be converted to an ABR Borrowing on the last day of the calendar month.</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7.09</w:t>
      </w:r>
    </w:p>
    <w:p>
      <w:pPr>
        <w:pStyle w:val="TextBody"/>
        <w:bidi w:val="0"/>
        <w:spacing w:before="0" w:after="240"/>
        <w:jc w:val="both"/>
        <w:rPr/>
      </w:pPr>
      <w:r>
        <w:rPr>
          <w:rFonts w:ascii="Times New Roman" w:hAnsi="Times New Roman"/>
          <w:color w:val="000000"/>
          <w:sz w:val="22"/>
          <w:u w:val="single"/>
        </w:rPr>
        <w:t>Termination and Reduction of Commitments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previously terminated, the Commitments shall terminate on the Maturity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The Borrower may at any time terminate, or from time to time reduce, the Commitments; </w:t>
      </w:r>
      <w:r>
        <w:rPr>
          <w:rFonts w:ascii="Times New Roman" w:hAnsi="Times New Roman"/>
          <w:i/>
          <w:color w:val="000000"/>
          <w:sz w:val="22"/>
        </w:rPr>
        <w:t xml:space="preserve">provided </w:t>
      </w:r>
      <w:r>
        <w:rPr>
          <w:rFonts w:ascii="Times New Roman" w:hAnsi="Times New Roman"/>
          <w:color w:val="000000"/>
          <w:sz w:val="22"/>
        </w:rPr>
        <w:t xml:space="preserve">that (i) each reduction of the Commitments shall be in an amount that is (x) an integral multiple of $250,000 and not less than $500,000 or (y) such lesser amount constituting the remaining undrawn Commitments and (ii) the Borrower shall not terminate or reduce the Commitments if, after giving effect to any concurrent prepayment of the Loans in accordance with </w:t>
      </w:r>
      <w:r>
        <w:rPr>
          <w:rFonts w:ascii="Times New Roman" w:hAnsi="Times New Roman"/>
          <w:color w:val="000000"/>
          <w:sz w:val="22"/>
          <w:u w:val="single"/>
        </w:rPr>
        <w:t>Section 2.11</w:t>
      </w:r>
      <w:r>
        <w:rPr>
          <w:rFonts w:ascii="Times New Roman" w:hAnsi="Times New Roman"/>
          <w:color w:val="000000"/>
          <w:sz w:val="22"/>
        </w:rPr>
        <w:t>, (a) any Lender’s Credit Exposure would exceed its Commitment or (b) the Aggregate Credit Exposure would exceed the aggregate Commitments.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The Borrower shall notify the Administrative Agent of any election to terminate or reduce the Commitments under paragraph (b) of this </w:t>
      </w:r>
      <w:r>
        <w:rPr>
          <w:rFonts w:ascii="Times New Roman" w:hAnsi="Times New Roman"/>
          <w:color w:val="000000"/>
          <w:sz w:val="22"/>
          <w:u w:val="single"/>
        </w:rPr>
        <w:t>Section 2.09</w:t>
      </w:r>
      <w:r>
        <w:rPr>
          <w:color w:val="000000"/>
        </w:rPr>
        <w:t xml:space="preserve"> </w:t>
      </w:r>
      <w:r>
        <w:rPr>
          <w:rFonts w:ascii="Times New Roman" w:hAnsi="Times New Roman"/>
          <w:color w:val="000000"/>
          <w:sz w:val="22"/>
        </w:rPr>
        <w:t xml:space="preserve">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hAnsi="Times New Roman"/>
          <w:color w:val="000000"/>
          <w:sz w:val="22"/>
          <w:u w:val="single"/>
        </w:rPr>
        <w:t>Section 2.09</w:t>
      </w:r>
      <w:r>
        <w:rPr>
          <w:color w:val="000000"/>
        </w:rPr>
        <w:t xml:space="preserve"> </w:t>
      </w:r>
      <w:r>
        <w:rPr>
          <w:rFonts w:ascii="Times New Roman" w:hAnsi="Times New Roman"/>
          <w:color w:val="000000"/>
          <w:sz w:val="22"/>
        </w:rPr>
        <w:t xml:space="preserve">shall be irrevocable; </w:t>
      </w:r>
      <w:r>
        <w:rPr>
          <w:rFonts w:ascii="Times New Roman" w:hAnsi="Times New Roman"/>
          <w:i/>
          <w:color w:val="000000"/>
          <w:sz w:val="22"/>
        </w:rPr>
        <w:t xml:space="preserve">provided </w:t>
      </w:r>
      <w:r>
        <w:rPr>
          <w:rFonts w:ascii="Times New Roman" w:hAnsi="Times New Roman"/>
          <w:color w:val="000000"/>
          <w:sz w:val="22"/>
        </w:rPr>
        <w:t>that a notice of termination of the Commitments delivered by the Borrower may state that such notice is conditioned upon the effectiveness of other credit facilities or the occurrence of any other event or consummation of any other transaction, in which case such notice may be revoked or extended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7.10</w:t>
      </w:r>
    </w:p>
    <w:p>
      <w:pPr>
        <w:pStyle w:val="TextBody"/>
        <w:bidi w:val="0"/>
        <w:spacing w:before="0" w:after="240"/>
        <w:jc w:val="both"/>
        <w:rPr/>
      </w:pPr>
      <w:r>
        <w:rPr>
          <w:rFonts w:ascii="Times New Roman" w:hAnsi="Times New Roman"/>
          <w:color w:val="000000"/>
          <w:sz w:val="22"/>
          <w:u w:val="single"/>
        </w:rPr>
        <w:t>Repayment of Loans; Evidence of Debt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Borrower hereby unconditionally promises to pay (i) to the Administrative Agent for the account of each Lender the then unpaid principal amount of each Revolving Loan on the Maturity Date and (ii) to the Administrative Agent for the account of the Swingline Lender the then unpaid principal amount of each Swingline Loan on the earlier of the Maturity Date and the fifth Business Days after such Swingline Loan is made; </w:t>
      </w:r>
      <w:r>
        <w:rPr>
          <w:rFonts w:ascii="Times New Roman" w:hAnsi="Times New Roman"/>
          <w:i/>
          <w:color w:val="000000"/>
          <w:sz w:val="22"/>
        </w:rPr>
        <w:t xml:space="preserve">provided </w:t>
      </w:r>
      <w:r>
        <w:rPr>
          <w:rFonts w:ascii="Times New Roman" w:hAnsi="Times New Roman"/>
          <w:color w:val="000000"/>
          <w:sz w:val="22"/>
        </w:rPr>
        <w:t>that on each date that a Revolving Borrowing is made, the Borrower shall repay all Swingline Loans then outstanding and the proceeds of any such Borrowing shall be applied by the Administrative Agent to repay any Swingline Loans outstanding.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The entries made in the accounts maintained pursuant to paragraph (b) or (c) of this </w:t>
      </w:r>
      <w:r>
        <w:rPr>
          <w:rFonts w:ascii="Times New Roman" w:hAnsi="Times New Roman"/>
          <w:color w:val="000000"/>
          <w:sz w:val="22"/>
          <w:u w:val="single"/>
        </w:rPr>
        <w:t>Section 2.10</w:t>
      </w:r>
      <w:r>
        <w:rPr>
          <w:color w:val="000000"/>
        </w:rPr>
        <w:t xml:space="preserve"> </w:t>
      </w:r>
      <w:r>
        <w:rPr>
          <w:rFonts w:ascii="Times New Roman" w:hAnsi="Times New Roman"/>
          <w:color w:val="000000"/>
          <w:sz w:val="22"/>
        </w:rPr>
        <w:t xml:space="preserve">shall be </w:t>
      </w:r>
      <w:r>
        <w:rPr>
          <w:rFonts w:ascii="Times New Roman" w:hAnsi="Times New Roman"/>
          <w:i/>
          <w:color w:val="000000"/>
          <w:sz w:val="22"/>
        </w:rPr>
        <w:t xml:space="preserve">prima facie </w:t>
      </w:r>
      <w:r>
        <w:rPr>
          <w:rFonts w:ascii="Times New Roman" w:hAnsi="Times New Roman"/>
          <w:color w:val="000000"/>
          <w:sz w:val="22"/>
        </w:rPr>
        <w:t xml:space="preserve">evidence of the existence and amounts of the Obligations recorded therein; </w:t>
      </w:r>
      <w:r>
        <w:rPr>
          <w:rFonts w:ascii="Times New Roman" w:hAnsi="Times New Roman"/>
          <w:i/>
          <w:color w:val="000000"/>
          <w:sz w:val="22"/>
        </w:rPr>
        <w:t xml:space="preserve">provided </w:t>
      </w:r>
      <w:r>
        <w:rPr>
          <w:rFonts w:ascii="Times New Roman" w:hAnsi="Times New Roman"/>
          <w:color w:val="000000"/>
          <w:sz w:val="22"/>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Any Lender may request that Loans made by it be evidenced by a promissory note. In such event, the Borrower shall prepare, execute and deliver to such Lender a promissory note payable to such Lender or, its registered assigns and in a form approved by the Administrative Agent and the Borrower. Thereafter, the Loans evidenced by such promissory note and interest thereon shall at all times (including after assignment pursuant to </w:t>
        <w:br/>
      </w:r>
      <w:r>
        <w:rPr>
          <w:rFonts w:ascii="Times New Roman" w:hAnsi="Times New Roman"/>
          <w:color w:val="000000"/>
          <w:sz w:val="22"/>
          <w:u w:val="single"/>
        </w:rPr>
        <w:t>Section 9.04</w:t>
      </w:r>
      <w:r>
        <w:rPr>
          <w:rFonts w:ascii="Times New Roman" w:hAnsi="Times New Roman"/>
          <w:color w:val="000000"/>
          <w:sz w:val="22"/>
        </w:rPr>
        <w:t>) be represented by one or more promissory notes in such form.</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7.11</w:t>
      </w:r>
    </w:p>
    <w:p>
      <w:pPr>
        <w:pStyle w:val="TextBody"/>
        <w:bidi w:val="0"/>
        <w:spacing w:before="0" w:after="240"/>
        <w:jc w:val="both"/>
        <w:rPr/>
      </w:pPr>
      <w:r>
        <w:rPr>
          <w:rFonts w:ascii="Times New Roman" w:hAnsi="Times New Roman"/>
          <w:color w:val="000000"/>
          <w:sz w:val="22"/>
          <w:u w:val="single"/>
        </w:rPr>
        <w:t>Prepayment of Loans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Borrower shall have the right at any time and from time to time to prepay any Borrowing in whole or in part without premium or penalty, subject to prior notice in accordance with paragraph (b) of this </w:t>
      </w:r>
      <w:r>
        <w:rPr>
          <w:rFonts w:ascii="Times New Roman" w:hAnsi="Times New Roman"/>
          <w:color w:val="000000"/>
          <w:sz w:val="22"/>
          <w:u w:val="single"/>
        </w:rPr>
        <w:t>Section 2.11</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each prepayment shall be in an aggregate amount that is (x) an integral multiple of $250,000 and not less than $500,000 or (y) such lesser amount constituting the entire outstanding amount of such Borrowing. In the absence of such direction by the Borrower, voluntary repayments shall be applied first, to any outstanding ABR Loans until such ABR Loans are repaid in full, and then, to any outstanding Term Benchmark Loans (in each case, in direct order of maturity).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The Borrower shall notify the Administrative Agent (and, in the case of prepayment of Swingline Loans, the Swingline Lender) by telephone or email (confirmed by electronic communication if arrangements for doing so have been approved by the Administrative Agent and, if relevant, the Swingline Lender) of any prepayment hereunder (i) in the case of prepayment of (1) a Term Benchmark Revolving Borrowing, not later than 3:00 p.m., three (3) Business Days before the date of prepayment or (2) an RFR Revolving Borrowing, not later than 3:00 p.m., three (3) Business Days before the date of prepayment, (ii) in the case of prepayment of an ABR Revolving Borrowing, not later than 3:00 p.m., one Business Day before the date of prepayment or (iii) in the case of prepayment of a Swingline Loan, not later than 3:00 p.m., on the date of prepayment. Each such notice shall be irrevocable and shall specify the prepayment date and the principal amount of each Borrowing or portion thereof to be prepaid; </w:t>
      </w:r>
      <w:r>
        <w:rPr>
          <w:rFonts w:ascii="Times New Roman" w:hAnsi="Times New Roman"/>
          <w:i/>
          <w:color w:val="000000"/>
          <w:sz w:val="22"/>
        </w:rPr>
        <w:t xml:space="preserve">provided </w:t>
      </w:r>
      <w:r>
        <w:rPr>
          <w:rFonts w:ascii="Times New Roman" w:hAnsi="Times New Roman"/>
          <w:color w:val="000000"/>
          <w:sz w:val="22"/>
        </w:rPr>
        <w:t xml:space="preserve">that, if a notice of prepayment is given in connection with a conditional notice of termination of the Commitments as contemplated by </w:t>
      </w:r>
      <w:r>
        <w:rPr>
          <w:rFonts w:ascii="Times New Roman" w:hAnsi="Times New Roman"/>
          <w:color w:val="000000"/>
          <w:sz w:val="22"/>
          <w:u w:val="single"/>
        </w:rPr>
        <w:t>Section 2.09</w:t>
      </w:r>
      <w:r>
        <w:rPr>
          <w:color w:val="000000"/>
        </w:rPr>
        <w:t xml:space="preserve"> </w:t>
      </w:r>
      <w:r>
        <w:rPr>
          <w:rFonts w:ascii="Times New Roman" w:hAnsi="Times New Roman"/>
          <w:color w:val="000000"/>
          <w:sz w:val="22"/>
        </w:rPr>
        <w:t xml:space="preserve">or is otherwise conditioned upon the consummation of a transaction, then such notice of prepayment may be revoked (or extended) if such notice of termination is revoked or extended in accordance with </w:t>
      </w:r>
      <w:r>
        <w:rPr>
          <w:rFonts w:ascii="Times New Roman" w:hAnsi="Times New Roman"/>
          <w:color w:val="000000"/>
          <w:sz w:val="22"/>
          <w:u w:val="single"/>
        </w:rPr>
        <w:t>Section 2.09</w:t>
      </w:r>
      <w:r>
        <w:rPr>
          <w:color w:val="000000"/>
        </w:rPr>
        <w:t xml:space="preserve"> </w:t>
      </w:r>
      <w:r>
        <w:rPr>
          <w:rFonts w:ascii="Times New Roman" w:hAnsi="Times New Roman"/>
          <w:color w:val="000000"/>
          <w:sz w:val="22"/>
        </w:rPr>
        <w:t xml:space="preserve">or such transaction does not occur.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 w:hAnsi="Times New Roman"/>
          <w:color w:val="000000"/>
          <w:sz w:val="22"/>
          <w:u w:val="single"/>
        </w:rPr>
        <w:t>Section 2.02</w:t>
      </w:r>
      <w:r>
        <w:rPr>
          <w:rFonts w:ascii="Times New Roman" w:hAnsi="Times New Roman"/>
          <w:color w:val="000000"/>
          <w:sz w:val="22"/>
        </w:rPr>
        <w:t xml:space="preserve">, except as necessary to apply fully the required amount of a mandatory prepayment. Each prepayment of a Revolving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Borrowing shall be applied ratably to the Loans included in the prepaid Borrowing. Prepayments shall be accompanied by accrued but unpaid interest to the extent required by </w:t>
      </w:r>
      <w:r>
        <w:rPr>
          <w:rFonts w:ascii="Times New Roman" w:hAnsi="Times New Roman"/>
          <w:color w:val="000000"/>
          <w:sz w:val="22"/>
          <w:u w:val="single"/>
        </w:rPr>
        <w:t>Section 2.13</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If at any time the Credit Exposure exceeds the Commitment, the Borrower agrees to repay within one Business Day of notice from the Administrative Agent, by payment to the Administrative Agent for the account of each Lender, the Borrowings in an amount equal to such excess with each such repayment applied </w:t>
      </w:r>
      <w:r>
        <w:rPr>
          <w:rFonts w:ascii="Times New Roman" w:hAnsi="Times New Roman"/>
          <w:color w:val="000000"/>
          <w:sz w:val="22"/>
          <w:u w:val="single"/>
        </w:rPr>
        <w:t>first</w:t>
      </w:r>
      <w:r>
        <w:rPr>
          <w:rFonts w:ascii="Times New Roman" w:hAnsi="Times New Roman"/>
          <w:color w:val="000000"/>
          <w:sz w:val="22"/>
        </w:rPr>
        <w:t xml:space="preserve">, to the principal amount of outstanding Swingline Loans, </w:t>
      </w:r>
      <w:r>
        <w:rPr>
          <w:rFonts w:ascii="Times New Roman" w:hAnsi="Times New Roman"/>
          <w:color w:val="000000"/>
          <w:sz w:val="22"/>
          <w:u w:val="single"/>
        </w:rPr>
        <w:t>second</w:t>
      </w:r>
      <w:r>
        <w:rPr>
          <w:color w:val="000000"/>
        </w:rPr>
        <w:t xml:space="preserve"> </w:t>
      </w:r>
      <w:r>
        <w:rPr>
          <w:rFonts w:ascii="Times New Roman" w:hAnsi="Times New Roman"/>
          <w:color w:val="000000"/>
          <w:sz w:val="22"/>
        </w:rPr>
        <w:t xml:space="preserve">to the principal amount of outstanding Loans and </w:t>
      </w:r>
      <w:r>
        <w:rPr>
          <w:rFonts w:ascii="Times New Roman" w:hAnsi="Times New Roman"/>
          <w:color w:val="000000"/>
          <w:sz w:val="22"/>
          <w:u w:val="single"/>
        </w:rPr>
        <w:t>third</w:t>
      </w:r>
      <w:r>
        <w:rPr>
          <w:rFonts w:ascii="Times New Roman" w:hAnsi="Times New Roman"/>
          <w:color w:val="000000"/>
          <w:sz w:val="22"/>
        </w:rPr>
        <w:t>, with respect to any Letters of Credit then outstanding, as a payment of cash collateral into a LC Collateral Account, in an amount equal to such excess, in any case, without premium or penalty.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7.12</w:t>
      </w:r>
    </w:p>
    <w:p>
      <w:pPr>
        <w:pStyle w:val="TextBody"/>
        <w:bidi w:val="0"/>
        <w:spacing w:before="0" w:after="240"/>
        <w:jc w:val="both"/>
        <w:rPr/>
      </w:pPr>
      <w:r>
        <w:rPr>
          <w:rFonts w:ascii="Times New Roman" w:hAnsi="Times New Roman"/>
          <w:color w:val="000000"/>
          <w:sz w:val="22"/>
          <w:u w:val="single"/>
        </w:rPr>
        <w:t>Fees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The Borrower agrees to pay to the Administrative Agent for the account of each Lender a commitment fee (a “</w:t>
      </w:r>
      <w:r>
        <w:rPr>
          <w:rFonts w:ascii="Times New Roman" w:hAnsi="Times New Roman"/>
          <w:b/>
          <w:i/>
          <w:color w:val="000000"/>
          <w:sz w:val="22"/>
        </w:rPr>
        <w:t>Commitment Fee</w:t>
      </w:r>
      <w:r>
        <w:rPr>
          <w:color w:val="000000"/>
        </w:rPr>
        <w:t>”</w:t>
      </w:r>
      <w:r>
        <w:rPr>
          <w:rFonts w:ascii="Times New Roman" w:hAnsi="Times New Roman"/>
          <w:color w:val="000000"/>
          <w:sz w:val="22"/>
        </w:rPr>
        <w:t>), which shall accrue at the rate equal to the Applicable Commitment Fee on the daily unused amount of the 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 on the fifteenth (15) day following such last day and on the date on which the Commitments terminate, commencing on the first such date to occur after the date hereof. The Commitment Fee shall be computed on the basis of a year of three hundred and sixty (360) days and shall be payable for the actual number of days elapsed (including the first (1st) day and the last day of each period but excluding the date on which the Commitments terminate). For the avoidance of doubt, a Lender’s Swingline Exposure shall not be considered usage in calculating the Commitment Fee above.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The Borrower agrees to pay (i) to the Administrative Agent for the account of each Lender a participation fee with respect to its participations in each outstanding Letter of Credit (the “</w:t>
      </w:r>
      <w:r>
        <w:rPr>
          <w:rFonts w:ascii="Times New Roman" w:hAnsi="Times New Roman"/>
          <w:b/>
          <w:i/>
          <w:color w:val="000000"/>
          <w:sz w:val="22"/>
        </w:rPr>
        <w:t>Participation Fee</w:t>
      </w:r>
      <w:r>
        <w:rPr>
          <w:color w:val="000000"/>
        </w:rPr>
        <w:t>”</w:t>
      </w:r>
      <w:r>
        <w:rPr>
          <w:rFonts w:ascii="Times New Roman" w:hAnsi="Times New Roman"/>
          <w:color w:val="000000"/>
          <w:sz w:val="22"/>
        </w:rPr>
        <w:t xml:space="preserve">),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Commitment terminates and the date on which such Lender ceases to have any LC Exposure, and (ii) to each Issuing Bank for its own account a fronting fee with respect to each Letter of Credit issued by such Issuing Bank, which shall accrue at the rate or rates per annum separately agreed upon between the Borrower and such Issuing Bank on the daily maximum stated amount then available to be drawn under such Letter of Credit, during the period from and including the Effective Date to but excluding the later of the date of termination of the Commitments and the date on which there ceases to be any LC Exposure with respect to Letters of Credit issued by such Issuing Bank, as well as such Issuing Bank’s standard fees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March, June, September and December of each year shall be payable on the fifteenth (15) day following such last day, commencing on the first such date to occur after the Effective Date; </w:t>
      </w:r>
      <w:r>
        <w:rPr>
          <w:rFonts w:ascii="Times New Roman" w:hAnsi="Times New Roman"/>
          <w:i/>
          <w:color w:val="000000"/>
          <w:sz w:val="22"/>
        </w:rPr>
        <w:t xml:space="preserve">provided </w:t>
      </w:r>
      <w:r>
        <w:rPr>
          <w:rFonts w:ascii="Times New Roman" w:hAnsi="Times New Roman"/>
          <w:color w:val="000000"/>
          <w:sz w:val="22"/>
        </w:rPr>
        <w:t>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fifteen (15) days after written demand. All Participation Fees and fronting fees shall be computed on the basis of a year of three hundred and sixty (360) days and shall be payable for the actual number of days elapsed (including the first (1st) day but excluding the last day).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agrees to pay to the Administrative Agent and the Lead Arrangers, for their own respective accounts, fees payable in the amounts and at the times separately agreed upon in writing between the Borrower, on the one hand, and the Administrative Agent and the Lead Arrangers, on the other.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 unless otherwise agreed.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7.13</w:t>
      </w:r>
    </w:p>
    <w:p>
      <w:pPr>
        <w:pStyle w:val="TextBody"/>
        <w:bidi w:val="0"/>
        <w:spacing w:before="0" w:after="240"/>
        <w:jc w:val="both"/>
        <w:rPr/>
      </w:pPr>
      <w:r>
        <w:rPr>
          <w:rFonts w:ascii="Times New Roman" w:hAnsi="Times New Roman"/>
          <w:color w:val="000000"/>
          <w:sz w:val="22"/>
          <w:u w:val="single"/>
        </w:rPr>
        <w:t>Interest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Loans comprising each ABR Borrowing (including each Swingline Loan) shall bear interest at the Alternate Base Rate plus the Applicable Rate.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Loans comprising each Term Benchmark Borrowing shall bear interest in the case of a Term Benchmark Revolving Loan, at the Adjusted Term SOFR Rate for the Interest Period in effect for such Borrowing plus the Applicable Rate.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RFR Loan shall bear interest at a rate per annum equal to the Adjusted Daily Simple SOFR plus the Applicable Rate.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if any principal of or interest on any Loan or any fee or other amount payable by the Borrower hereunder is not paid when due (after any applicable grace period),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Accrued interest on each Loan shall be payable in arrears on each Interest Payment Date for such Loan and, in the case of Revolving Loans, upon termination of the Commitments; </w:t>
      </w:r>
      <w:r>
        <w:rPr>
          <w:rFonts w:ascii="Times New Roman" w:hAnsi="Times New Roman"/>
          <w:i/>
          <w:color w:val="000000"/>
          <w:sz w:val="22"/>
        </w:rPr>
        <w:t xml:space="preserve">provided </w:t>
      </w:r>
      <w:r>
        <w:rPr>
          <w:rFonts w:ascii="Times New Roman" w:hAnsi="Times New Roman"/>
          <w:color w:val="000000"/>
          <w:sz w:val="22"/>
        </w:rPr>
        <w:t xml:space="preserve">that (i) interest accrued pursuant to paragraph (d) of this </w:t>
      </w:r>
      <w:r>
        <w:rPr>
          <w:rFonts w:ascii="Times New Roman" w:hAnsi="Times New Roman"/>
          <w:color w:val="000000"/>
          <w:sz w:val="22"/>
          <w:u w:val="single"/>
        </w:rPr>
        <w:t>Section 2.13</w:t>
      </w:r>
      <w:r>
        <w:rPr>
          <w:color w:val="000000"/>
        </w:rPr>
        <w:t xml:space="preserve"> </w:t>
      </w:r>
      <w:r>
        <w:rPr>
          <w:rFonts w:ascii="Times New Roman" w:hAnsi="Times New Roman"/>
          <w:color w:val="000000"/>
          <w:sz w:val="22"/>
        </w:rPr>
        <w:t>shall be payable on written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computed by reference to the Term SOFR Rate or Daily Simple SOFR and the ABR (except when based on the Prime Rate) hereunder shall be computed on the basis of a year of 360 days. Interest computed by reference to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Daily Simple SOFR or Daily Simple SOFR shall be determined by the Administrative Agent, and such determination shall be conclusive absent manifest error.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7.14</w:t>
      </w:r>
    </w:p>
    <w:p>
      <w:pPr>
        <w:pStyle w:val="TextBody"/>
        <w:bidi w:val="0"/>
        <w:spacing w:before="0" w:after="240"/>
        <w:jc w:val="both"/>
        <w:rPr/>
      </w:pPr>
      <w:r>
        <w:rPr>
          <w:rFonts w:ascii="Times New Roman" w:hAnsi="Times New Roman"/>
          <w:color w:val="000000"/>
          <w:sz w:val="22"/>
          <w:u w:val="single"/>
        </w:rPr>
        <w:t>Alternate Rate of Interest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Subject to clauses (b), (c), (d), (e) and (f) of this </w:t>
      </w:r>
      <w:r>
        <w:rPr>
          <w:rFonts w:ascii="Times New Roman" w:hAnsi="Times New Roman"/>
          <w:color w:val="000000"/>
          <w:sz w:val="22"/>
          <w:u w:val="single"/>
        </w:rPr>
        <w:t>Section 2.14</w:t>
      </w:r>
      <w:r>
        <w:rPr>
          <w:rFonts w:ascii="Times New Roman" w:hAnsi="Times New Roman"/>
          <w:color w:val="000000"/>
          <w:sz w:val="22"/>
        </w:rPr>
        <w:t>, if: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then the Administrative Agent shall give notice thereof to the Borrower and the Lenders by telephone or email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hAnsi="Times New Roman"/>
          <w:color w:val="000000"/>
          <w:sz w:val="22"/>
          <w:u w:val="single"/>
        </w:rPr>
        <w:t>Section 2.08</w:t>
      </w:r>
      <w:r>
        <w:rPr>
          <w:rFonts w:ascii="Times New Roman" w:hAnsi="Times New Roman"/>
          <w:color w:val="000000"/>
          <w:sz w:val="20"/>
        </w:rPr>
        <w:t xml:space="preserve"> </w:t>
      </w:r>
      <w:r>
        <w:rPr>
          <w:rFonts w:ascii="Times New Roman" w:hAnsi="Times New Roman"/>
          <w:color w:val="000000"/>
          <w:sz w:val="22"/>
        </w:rPr>
        <w:t xml:space="preserve">or a new Borrowing Request in accordance with the terms of </w:t>
      </w:r>
      <w:r>
        <w:rPr>
          <w:rFonts w:ascii="Times New Roman" w:hAnsi="Times New Roman"/>
          <w:color w:val="000000"/>
          <w:sz w:val="22"/>
          <w:u w:val="single"/>
        </w:rPr>
        <w:t>Section 2.03</w:t>
      </w:r>
      <w:r>
        <w:rPr>
          <w:rFonts w:ascii="Times New Roman" w:hAnsi="Times New Roman"/>
          <w:color w:val="000000"/>
          <w:sz w:val="22"/>
        </w:rPr>
        <w:t xml:space="preserve">, (A)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(1) an RFR Borrowing so long as the Adjusted Daily Simple SOFR is not also the subject of </w:t>
      </w:r>
      <w:r>
        <w:rPr>
          <w:rFonts w:ascii="Times New Roman" w:hAnsi="Times New Roman"/>
          <w:color w:val="000000"/>
          <w:sz w:val="22"/>
          <w:u w:val="single"/>
        </w:rPr>
        <w:t>Section 2.14</w:t>
      </w:r>
      <w:r>
        <w:rPr>
          <w:rFonts w:ascii="Times New Roman" w:hAnsi="Times New Roman"/>
          <w:color w:val="000000"/>
          <w:sz w:val="22"/>
        </w:rPr>
        <w:t>(</w:t>
      </w:r>
      <w:r>
        <w:rPr>
          <w:rFonts w:ascii="Times New Roman" w:hAnsi="Times New Roman"/>
          <w:color w:val="000000"/>
          <w:sz w:val="22"/>
          <w:u w:val="single"/>
        </w:rPr>
        <w:t>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or (2) an ABR Borrowing if the Adjusted Daily Simple SOFR also is the subject of </w:t>
      </w:r>
      <w:r>
        <w:rPr>
          <w:rFonts w:ascii="Times New Roman" w:hAnsi="Times New Roman"/>
          <w:color w:val="000000"/>
          <w:sz w:val="22"/>
          <w:u w:val="single"/>
        </w:rPr>
        <w:t>Section 2.14(a)(i)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and (B) any Borrowing Request that requests an RFR Borrowing shall instead be deemed to be a Borrowing Request, as applicable, for an ABR Borrowing; </w:t>
      </w:r>
      <w:r>
        <w:rPr>
          <w:rFonts w:ascii="Times New Roman" w:hAnsi="Times New Roman"/>
          <w:i/>
          <w:color w:val="000000"/>
          <w:sz w:val="22"/>
        </w:rPr>
        <w:t xml:space="preserve">provided </w:t>
      </w:r>
      <w:r>
        <w:rPr>
          <w:rFonts w:ascii="Times New Roman" w:hAnsi="Times New Roman"/>
          <w:color w:val="000000"/>
          <w:sz w:val="22"/>
        </w:rPr>
        <w:t xml:space="preserve">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w:t>
      </w:r>
      <w:r>
        <w:rPr>
          <w:rFonts w:ascii="Times New Roman" w:hAnsi="Times New Roman"/>
          <w:color w:val="000000"/>
          <w:sz w:val="22"/>
          <w:u w:val="single"/>
        </w:rPr>
        <w:t>Section 2.14(a)</w:t>
      </w:r>
      <w:r>
        <w:rPr>
          <w:rFonts w:ascii="Times New Roman" w:hAnsi="Times New Roman"/>
          <w:color w:val="000000"/>
          <w:sz w:val="20"/>
        </w:rPr>
        <w:t xml:space="preserve"> </w:t>
      </w:r>
      <w:r>
        <w:rPr>
          <w:rFonts w:ascii="Times New Roman" w:hAnsi="Times New Roman"/>
          <w:color w:val="000000"/>
          <w:sz w:val="22"/>
        </w:rPr>
        <w:t xml:space="preserve">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hAnsi="Times New Roman"/>
          <w:color w:val="000000"/>
          <w:sz w:val="22"/>
          <w:u w:val="single"/>
        </w:rPr>
        <w:t>Section 2.08</w:t>
      </w:r>
      <w:r>
        <w:rPr>
          <w:rFonts w:ascii="Times New Roman" w:hAnsi="Times New Roman"/>
          <w:color w:val="000000"/>
          <w:sz w:val="20"/>
        </w:rPr>
        <w:t xml:space="preserve"> </w:t>
      </w:r>
      <w:r>
        <w:rPr>
          <w:rFonts w:ascii="Times New Roman" w:hAnsi="Times New Roman"/>
          <w:color w:val="000000"/>
          <w:sz w:val="22"/>
        </w:rPr>
        <w:t xml:space="preserve">or a new Borrowing Request in accordance with the terms of </w:t>
      </w:r>
      <w:r>
        <w:rPr>
          <w:rFonts w:ascii="Times New Roman" w:hAnsi="Times New Roman"/>
          <w:color w:val="000000"/>
          <w:sz w:val="22"/>
          <w:u w:val="single"/>
        </w:rPr>
        <w:t>Section 2.03</w:t>
      </w:r>
      <w:r>
        <w:rPr>
          <w:rFonts w:ascii="Times New Roman" w:hAnsi="Times New Roman"/>
          <w:color w:val="000000"/>
          <w:sz w:val="22"/>
        </w:rPr>
        <w:t xml:space="preserve">, (1) any Term Benchmark Loan shall on the last day of the Interest Period applicable to such Loan, be converted by the Administrative Agent to, and shall constitute, (x) an RFR Borrowing so long as the Adjusted Daily Simple SOFR is not also the subject of </w:t>
      </w:r>
      <w:r>
        <w:rPr>
          <w:rFonts w:ascii="Times New Roman" w:hAnsi="Times New Roman"/>
          <w:color w:val="000000"/>
          <w:sz w:val="22"/>
          <w:u w:val="single"/>
        </w:rPr>
        <w:t>Section 2.14</w:t>
      </w:r>
      <w:r>
        <w:rPr>
          <w:rFonts w:ascii="Times New Roman" w:hAnsi="Times New Roman"/>
          <w:color w:val="000000"/>
          <w:sz w:val="22"/>
        </w:rPr>
        <w:t>(</w:t>
      </w:r>
      <w:r>
        <w:rPr>
          <w:rFonts w:ascii="Times New Roman" w:hAnsi="Times New Roman"/>
          <w:color w:val="000000"/>
          <w:sz w:val="22"/>
          <w:u w:val="single"/>
        </w:rPr>
        <w:t>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or (y) an ABR Loan if the Adjusted Daily Simple SOFR also is the subject of </w:t>
      </w:r>
      <w:r>
        <w:rPr>
          <w:rFonts w:ascii="Times New Roman" w:hAnsi="Times New Roman"/>
          <w:color w:val="000000"/>
          <w:sz w:val="22"/>
          <w:u w:val="single"/>
        </w:rPr>
        <w:t>Section 2.14(a)(i)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above, on such day, and (2) any RFR Loan shall on and from such day be converted by the Administrative Agent to, and shall constitute an ABR Loan.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Notwithstanding anything to the contrary herein or in any other Loan Document (and any Swap Agreement shall be deemed not to be a “Loan Document” for purposes of this </w:t>
      </w:r>
      <w:r>
        <w:rPr>
          <w:rFonts w:ascii="Times New Roman" w:hAnsi="Times New Roman"/>
          <w:color w:val="000000"/>
          <w:sz w:val="22"/>
          <w:u w:val="single"/>
        </w:rPr>
        <w:t>Section 2.14</w:t>
      </w:r>
      <w:r>
        <w:rPr>
          <w:rFonts w:ascii="Times New Roman" w:hAnsi="Times New Roman"/>
          <w:color w:val="000000"/>
          <w:sz w:val="22"/>
        </w:rPr>
        <w:t xml:space="preserve">), if a Benchmark Transition Event and its related Benchmark Replacement Date have occurred prior to the Reference Time in respect of any setting of the then-current Benchmark, then (x) if a Benchmark Replacement is determined in accordance with clause (1) of the definition of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color w:val="000000"/>
        </w:rPr>
      </w:pPr>
      <w:r>
        <w:rPr>
          <w:color w:val="000000"/>
        </w:rPr>
        <w:t>“</w:t>
      </w:r>
      <w:r>
        <w:rPr>
          <w:rFonts w:ascii="Times New Roman" w:hAnsi="Times New Roman"/>
          <w:color w:val="000000"/>
          <w:sz w:val="22"/>
        </w:rPr>
        <w:t>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herein or in any other Loan Document, the Administrative Agent and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 w:hAnsi="Times New Roman"/>
          <w:color w:val="000000"/>
          <w:sz w:val="22"/>
          <w:u w:val="single"/>
        </w:rPr>
        <w:t>Section 2.14(f)</w:t>
      </w:r>
      <w:r>
        <w:rPr>
          <w:color w:val="000000"/>
        </w:rPr>
        <w:t xml:space="preserve"> </w:t>
      </w:r>
      <w:r>
        <w:rPr>
          <w:rFonts w:ascii="Times New Roman" w:hAnsi="Times New Roman"/>
          <w:color w:val="000000"/>
          <w:sz w:val="22"/>
        </w:rPr>
        <w:t xml:space="preserve">and (v) the commencement or conclusion of any Benchmark Unavailability Period. Any determination, decision or election that may be made by the Administrative Agent or, if applicable, any Lender (or group of Lenders), in each case, with the consent of the Borrower, pursuant to this </w:t>
      </w:r>
      <w:r>
        <w:rPr>
          <w:rFonts w:ascii="Times New Roman" w:hAnsi="Times New Roman"/>
          <w:color w:val="000000"/>
          <w:sz w:val="22"/>
          <w:u w:val="single"/>
        </w:rPr>
        <w:t>Section 2.14</w:t>
      </w:r>
      <w:r>
        <w:rPr>
          <w:rFonts w:ascii="Times New Roman" w:hAnsi="Times New Roman"/>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2"/>
          <w:u w:val="single"/>
        </w:rPr>
        <w:t>Section 2.14</w:t>
      </w:r>
      <w:r>
        <w:rPr>
          <w:color w:val="000000"/>
        </w:rPr>
        <w:t xml:space="preserve"> </w:t>
      </w:r>
      <w:r>
        <w:rPr>
          <w:rFonts w:ascii="Times New Roman" w:hAnsi="Times New Roman"/>
          <w:color w:val="000000"/>
          <w:sz w:val="22"/>
        </w:rPr>
        <w:t>or the definition of “Benchmark Replacement Conforming Changes”.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and the Borrower or (B) the regulatory supervisor for the administrator of such Benchmark has provided a public statement or publication of information announcing that any tenor for such Benchmark is or will be no longer representative, then the Administrative Agent may modify the definition of “</w:t>
      </w:r>
      <w:r>
        <w:rPr>
          <w:rFonts w:ascii="Times New Roman" w:hAnsi="Times New Roman"/>
          <w:color w:val="000000"/>
          <w:sz w:val="22"/>
          <w:u w:val="single"/>
        </w:rPr>
        <w:t>Interest Period</w:t>
      </w:r>
      <w:r>
        <w:rPr>
          <w:color w:val="000000"/>
        </w:rPr>
        <w:t xml:space="preserve">” </w:t>
      </w:r>
      <w:r>
        <w:rPr>
          <w:rFonts w:ascii="Times New Roman" w:hAnsi="Times New Roman"/>
          <w:color w:val="000000"/>
          <w:sz w:val="22"/>
        </w:rPr>
        <w:t>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w:t>
      </w:r>
      <w:r>
        <w:rPr>
          <w:rFonts w:ascii="Times New Roman" w:hAnsi="Times New Roman"/>
          <w:color w:val="000000"/>
          <w:sz w:val="22"/>
          <w:u w:val="single"/>
        </w:rPr>
        <w:t>Interest Period</w:t>
      </w:r>
      <w:r>
        <w:rPr>
          <w:color w:val="000000"/>
        </w:rPr>
        <w:t xml:space="preserve">” </w:t>
      </w:r>
      <w:r>
        <w:rPr>
          <w:rFonts w:ascii="Times New Roman" w:hAnsi="Times New Roman"/>
          <w:color w:val="000000"/>
          <w:sz w:val="22"/>
        </w:rPr>
        <w:t>for all Benchmark settings at or after such time to reinstate such previously removed tenor.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Upon the Borrower’s receipt of notice of the commencement of a Benchmark Unavailability Period, the Borrower may revoke any request for (i) a Term Benchmark Borrowing, conversion to or continuation of Term Benchmark Loans to be made, converted or continued or (ii) a RFR Borrowing or conversion to RFR Loans, during any Benchmark Unavailability Period and, failing that, the Borrower will be deemed to have converted any request for a Term Benchmark Borrowing or RFR Borrowing, as applicable, into a request for a Borrowing of or conversion to (A) solely with respect to any such request for a Term Benchmark Borrowing, an RFR Borrowing so long as the Adjusted Daily Simple SOFR is not the subject of a Benchmark Transition Event or (B) an ABR Borrowing if the Adjusted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w:t>
      </w:r>
      <w:r>
        <w:rPr>
          <w:rFonts w:ascii="Times New Roman" w:hAnsi="Times New Roman"/>
          <w:color w:val="000000"/>
          <w:sz w:val="22"/>
          <w:u w:val="single"/>
        </w:rPr>
        <w:t>Section 2.14</w:t>
      </w:r>
      <w:r>
        <w:rPr>
          <w:rFonts w:ascii="Times New Roman" w:hAnsi="Times New Roman"/>
          <w:color w:val="000000"/>
          <w:sz w:val="22"/>
        </w:rPr>
        <w:t>, (1) any Term Benchmark Loan shall on the last day of the Interest Period applicable to such Loan,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7.15</w:t>
      </w:r>
    </w:p>
    <w:p>
      <w:pPr>
        <w:pStyle w:val="TextBody"/>
        <w:bidi w:val="0"/>
        <w:spacing w:before="0" w:after="240"/>
        <w:jc w:val="both"/>
        <w:rPr/>
      </w:pPr>
      <w:r>
        <w:rPr>
          <w:rFonts w:ascii="Times New Roman" w:hAnsi="Times New Roman"/>
          <w:color w:val="000000"/>
          <w:sz w:val="22"/>
          <w:u w:val="single"/>
        </w:rPr>
        <w:t>Increased Costs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Change in Law shall:</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impose, modify or deem applicable any reserve, special deposit, liquidity or similar requirement (including any compulsory loan requirement, insurance charge or other assessment) against assets of, deposits with or for the account of, or credit extended by, any Lender or Issuing Bank;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impose on any Lender or Issuing Bank or the applicable offshore interbank market any other condition, cost or expense (other than Taxes) affecting this Agreement or Loans made by such Lender or any Letter of Credit or participation therein;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any Recipient to any Taxes (other than (A) Indemnified Taxes, (B) Taxes described in clauses (b) through (d) of the definition of Excluded Taxes and (C) Connection Income Taxes) with respect to its loans, letters of credit, commitments, or other obligations, or its deposits, reserves, other liabilities or capital attributable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result of any of the foregoing shall be to increase the cost to such Lender, Issuing Bank or such other Recipient of making, continuing, converting or maintaining any Loan (or of maintaining its obligation to make any such Loan) or to increase in any material respect the cost to such Lender, such Issuing Bank or such other Recipient of participating in, issuing or maintaining any Letter of Credit or to reduce the amount of any sum received or receivable by such Lender,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Lender or Issuing Bank determines that any Change in Law regarding capital or liquidity requirements has or would have the effect of reducing in any material respect the rate of return on such Lender’s or the Issuing Bank’s capital or on the capital of such Lender’s or Issuing Bank’s holding company, if any, as a consequence of this Agreement or the Loans made by, or participations in Letters of Credit held by, such Lender, or the Letters of Credit issued by such Issuing Bank, to a level in any material respect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 will pay to such Lender or Issuing Bank, as the case may be, such additional amount or amounts as will compensate such Lender or Issuing Bank or such Lender’s or Issuing Bank’s holding company for any such reduction suffered.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A certificate of a Lender or Issuing Bank setting forth the amount or amounts necessary to compensate such Lender or Issuing Bank or its holding company, as the case may be, as specified in paragraph (a) or (b) of this </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shall be delivered to the Borrower and shall be conclusive absent manifest error. The Borrower shall pay such Lender or Issuing Bank, as the case may be, the amount shown as due on any such certificate within fifteen (15) days after receipt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Failure or delay on the part of any Lender or Issuing Bank to demand compensation pursuant to this </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shall not constitute a waiver of such Lender’s or Issuing Bank’s right to demand such compensation; </w:t>
      </w:r>
      <w:r>
        <w:rPr>
          <w:rFonts w:ascii="Times New Roman" w:hAnsi="Times New Roman"/>
          <w:i/>
          <w:color w:val="000000"/>
          <w:sz w:val="22"/>
        </w:rPr>
        <w:t xml:space="preserve">provided </w:t>
      </w:r>
      <w:r>
        <w:rPr>
          <w:rFonts w:ascii="Times New Roman" w:hAnsi="Times New Roman"/>
          <w:color w:val="000000"/>
          <w:sz w:val="22"/>
        </w:rPr>
        <w:t xml:space="preserve">that the Borrower shall not be required to compensate a Lender or Issuing Bank pursuant to this </w:t>
        <w:br/>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for any increased costs or reductions incurred more than one hundred and eighty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hAnsi="Times New Roman"/>
          <w:i/>
          <w:color w:val="000000"/>
          <w:sz w:val="22"/>
        </w:rPr>
        <w:t xml:space="preserve">provided further </w:t>
      </w:r>
      <w:r>
        <w:rPr>
          <w:rFonts w:ascii="Times New Roman" w:hAnsi="Times New Roman"/>
          <w:color w:val="000000"/>
          <w:sz w:val="22"/>
        </w:rPr>
        <w:t>that, if the Change in Law giving rise to such increased costs or reductions is retroactive, then the one hundred and eighty (180) day period referred to above shall be extended to include the period of retroactive effect thereof.</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7.16</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7.17</w:t>
      </w:r>
    </w:p>
    <w:p>
      <w:pPr>
        <w:pStyle w:val="TextBody"/>
        <w:bidi w:val="0"/>
        <w:spacing w:before="0" w:after="240"/>
        <w:jc w:val="both"/>
        <w:rPr/>
      </w:pPr>
      <w:r>
        <w:rPr>
          <w:rFonts w:ascii="Times New Roman" w:hAnsi="Times New Roman"/>
          <w:color w:val="000000"/>
          <w:sz w:val="22"/>
          <w:u w:val="single"/>
        </w:rPr>
        <w:t>Payments Free of Taxes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any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hAnsi="Times New Roman"/>
          <w:color w:val="000000"/>
          <w:sz w:val="22"/>
          <w:u w:val="single"/>
        </w:rPr>
        <w:t>Section 2.17</w:t>
      </w:r>
      <w:r>
        <w:rPr>
          <w:rFonts w:ascii="Times New Roman" w:hAnsi="Times New Roman"/>
          <w:color w:val="000000"/>
          <w:sz w:val="22"/>
        </w:rPr>
        <w:t>) the applicable Lender (or, in the case of a payment received by the Administrative Agent for its own account, the Administrative Agent)receives an amount equal to the sum it would have received had no such deduction or withholding been made.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u w:val="single"/>
        </w:rPr>
        <w:t>Payment of Other Taxes by the Loan Parties</w:t>
      </w:r>
      <w:r>
        <w:rPr>
          <w:rFonts w:ascii="Times New Roman" w:hAnsi="Times New Roman"/>
          <w:color w:val="000000"/>
          <w:sz w:val="22"/>
        </w:rPr>
        <w:t>. The Loan Parties shall timely pay to the relevant Governmental Authority in accordance with applicable law, or at the option of the Administrative Agent timely reimburse it for, Other Taxes.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u w:val="single"/>
        </w:rPr>
        <w:t>Evidence of Payments</w:t>
      </w:r>
      <w:r>
        <w:rPr>
          <w:rFonts w:ascii="Times New Roman" w:hAnsi="Times New Roman"/>
          <w:color w:val="000000"/>
          <w:sz w:val="22"/>
        </w:rPr>
        <w:t xml:space="preserve">. As soon as practicable after any payment of Taxes by any Loan Party to a Governmental Authority pursuant to this </w:t>
      </w:r>
      <w:r>
        <w:rPr>
          <w:rFonts w:ascii="Times New Roman" w:hAnsi="Times New Roman"/>
          <w:color w:val="000000"/>
          <w:sz w:val="22"/>
          <w:u w:val="single"/>
        </w:rPr>
        <w:t>Section 2.17</w:t>
      </w:r>
      <w:r>
        <w:rPr>
          <w:rFonts w:ascii="Times New Roman" w:hAnsi="Times New Roman"/>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u w:val="single"/>
        </w:rPr>
        <w:t>Indemnification by the Loan Parties</w:t>
      </w:r>
      <w:r>
        <w:rPr>
          <w:rFonts w:ascii="Times New Roman" w:hAnsi="Times New Roman"/>
          <w:color w:val="000000"/>
          <w:sz w:val="22"/>
        </w:rPr>
        <w:t xml:space="preserve">. The Loan Parties shall jointly and severally indemnify each Recipient, within fifteen (15) days after written demand therefor, for the full amount of any Indemnified Taxes (including Indemnified Taxes imposed or asserted on or attributable to amounts payable under this </w:t>
      </w:r>
      <w:r>
        <w:rPr>
          <w:rFonts w:ascii="Times New Roman" w:hAnsi="Times New Roman"/>
          <w:color w:val="000000"/>
          <w:sz w:val="22"/>
          <w:u w:val="single"/>
        </w:rPr>
        <w:t>Section 2.17</w:t>
      </w:r>
      <w:r>
        <w:rPr>
          <w:rFonts w:ascii="Times New Roman" w:hAnsi="Times New Roman"/>
          <w:color w:val="000000"/>
          <w:sz w:val="22"/>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u w:val="single"/>
        </w:rPr>
        <w:t>Indemnification by the Lenders</w:t>
      </w:r>
      <w:r>
        <w:rPr>
          <w:rFonts w:ascii="Times New Roman" w:hAnsi="Times New Roman"/>
          <w:color w:val="000000"/>
          <w:sz w:val="22"/>
        </w:rPr>
        <w:t xml:space="preserve">. Each Lender shall severally indemnify the Administrative Agent, within fifteen (15) days after written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hAnsi="Times New Roman"/>
          <w:color w:val="000000"/>
          <w:sz w:val="22"/>
          <w:u w:val="single"/>
        </w:rPr>
        <w:t>Section 9.04</w:t>
      </w:r>
      <w:r>
        <w:rPr>
          <w:rFonts w:ascii="Times New Roman" w:hAnsi="Times New Roman"/>
          <w:color w:val="000000"/>
          <w:sz w:val="22"/>
        </w:rPr>
        <w:t xml:space="preserve">(c)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2"/>
          <w:u w:val="single"/>
        </w:rPr>
        <w:t>Section 2.17(e)</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Status of Lenders.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limiting the generality of the foregoing: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whichever of the following is applicable: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a Foreign Lender claiming the benefits of an income tax treaty to which the U.S. is a party, an executed copy of IRS Form W-8BEN-E or IRS Form W-8BEN establishing an exemption from, or reduction of, U.S. federal withholding Tax pursuant to such tax treaty;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case of a Foreign Lender claiming that its extension of credit will generate U.S. effectively connected income, IRS Form W-8ECI;</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(3)</w:t>
      </w:r>
    </w:p>
    <w:p>
      <w:pPr>
        <w:pStyle w:val="TextBody"/>
        <w:bidi w:val="0"/>
        <w:spacing w:before="0" w:after="240"/>
        <w:jc w:val="both"/>
        <w:rPr/>
      </w:pPr>
      <w:r>
        <w:rPr>
          <w:rFonts w:ascii="Times New Roman" w:hAnsi="Times New Roman"/>
          <w:color w:val="000000"/>
          <w:sz w:val="22"/>
        </w:rPr>
        <w:t xml:space="preserve">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D-1</w:t>
      </w:r>
      <w:r>
        <w:rPr>
          <w:color w:val="000000"/>
        </w:rPr>
        <w:t xml:space="preserve"> </w:t>
      </w:r>
      <w:r>
        <w:rPr>
          <w:rFonts w:ascii="Times New Roman" w:hAnsi="Times New Roman"/>
          <w:color w:val="000000"/>
          <w:sz w:val="22"/>
        </w:rPr>
        <w:t xml:space="preserve">to the effect that such Foreign Lender is not a “bank” within the meaning of Section 881(c)(3)(A) of the Code, a “10-percent shareholder” of the Borrower within the meaning of </w:t>
        <w:br/>
        <w:t>Section 871(h)(3)(B) of the Code, or a “controlled foreign corporation” related to the Borrower as described in Section 881(c)(3)(C) of the Code and no payments under any Loan Documents are effectively connected with such Lender’s conduct of a U.S. trade or business (a “</w:t>
      </w:r>
      <w:r>
        <w:rPr>
          <w:rFonts w:ascii="Times New Roman" w:hAnsi="Times New Roman"/>
          <w:b/>
          <w:i/>
          <w:color w:val="000000"/>
          <w:sz w:val="22"/>
        </w:rPr>
        <w:t>U.S. Tax Compliance Certificate</w:t>
      </w:r>
      <w:r>
        <w:rPr>
          <w:color w:val="000000"/>
        </w:rPr>
        <w:t>”</w:t>
      </w:r>
      <w:r>
        <w:rPr>
          <w:rFonts w:ascii="Times New Roman" w:hAnsi="Times New Roman"/>
          <w:color w:val="000000"/>
          <w:sz w:val="22"/>
        </w:rPr>
        <w:t>) and (y) an executed copy of IRS Form W-8BEN-E or IRS Form W-8BEN;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(4)</w:t>
      </w:r>
    </w:p>
    <w:p>
      <w:pPr>
        <w:pStyle w:val="TextBody"/>
        <w:bidi w:val="0"/>
        <w:spacing w:before="0" w:after="240"/>
        <w:jc w:val="both"/>
        <w:rPr/>
      </w:pPr>
      <w:r>
        <w:rPr>
          <w:rFonts w:ascii="Times New Roman" w:hAnsi="Times New Roman"/>
          <w:color w:val="000000"/>
          <w:sz w:val="22"/>
        </w:rPr>
        <w:t xml:space="preserve">to the extent a Foreign Lender is not the beneficial owner (for example, where the Lender is a partnership or a participating Lender), IRS Form W-8IMY, accompanied by IRS Form W-8ECI, IRS Form W-8BEN-E, IRS Form W-8BEN, a U.S. Tax Compliance Certificate substantially in the form of </w:t>
      </w:r>
      <w:r>
        <w:rPr>
          <w:rFonts w:ascii="Times New Roman" w:hAnsi="Times New Roman"/>
          <w:color w:val="000000"/>
          <w:sz w:val="22"/>
          <w:u w:val="single"/>
        </w:rPr>
        <w:t>Exhibit D-2</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Exhibit D-3</w:t>
      </w:r>
      <w:r>
        <w:rPr>
          <w:rFonts w:ascii="Times New Roman" w:hAnsi="Times New Roman"/>
          <w:color w:val="000000"/>
          <w:sz w:val="22"/>
        </w:rPr>
        <w:t xml:space="preserve">, IRS Form W-9, and/or other certification documents from each beneficial owner, as applicable; </w:t>
      </w:r>
      <w:r>
        <w:rPr>
          <w:rFonts w:ascii="Times New Roman" w:hAnsi="Times New Roman"/>
          <w:i/>
          <w:color w:val="000000"/>
          <w:sz w:val="22"/>
        </w:rPr>
        <w:t xml:space="preserve">provided </w:t>
      </w:r>
      <w:r>
        <w:rPr>
          <w:rFonts w:ascii="Times New Roman" w:hAnsi="Times New Roman"/>
          <w:color w:val="000000"/>
          <w:sz w:val="22"/>
        </w:rPr>
        <w:t xml:space="preserve">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D-4</w:t>
      </w:r>
      <w:r>
        <w:rPr>
          <w:color w:val="000000"/>
        </w:rPr>
        <w:t xml:space="preserve"> </w:t>
      </w:r>
      <w:r>
        <w:rPr>
          <w:rFonts w:ascii="Times New Roman" w:hAnsi="Times New Roman"/>
          <w:color w:val="000000"/>
          <w:sz w:val="22"/>
        </w:rPr>
        <w:t>on behalf of each such direct and indirect partner;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if any, required to be made;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Administrative Agent is a U.S. Person, it shall deliver to the Borrower on or prior to the date on which it becomes the Administrative Agent under this Agreement with two duly completed copies of IRS Form W-9. If the Administrative Agent is not a U.S. Person, it shall provide to the Borrower on or prior to the date on which it becomes the Administrative Agent under this Agreement (and from time to time thereafter upon the reasonable request of the Borrower): (A) two executed copies of IRS Form W-8ECI with respect to any amounts payable to the Administrative Agent for its own account, and (B) two executed copies of IRS Form W-8IMY with respect to any amounts payable to the Administrative Agent for the account of others, certifying that it is a “U.S. branch” and that the payments it receives for the account of others are not effectively connected with the conduct of its trade or business within the United States and that it is using such form as evidence of its agreement with the Borrower to be treated as a U.S. person with respect to such payments (and the Borrower and the Administrative Agent agree to so treat the Administrative Agent as a U.S. person with respect to such payments as contemplated by Section 1.1441-1(b)(2)(iv) of the United States Treasury Regulations);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Recipient has complied with such Recipient’s obligations under FATCA or to determine the amount, if any, to deduct and withhold from such payment. Solely for purposes of this clause (D), “FATCA” 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Recipient agrees that if any documentation it previously delivered expires or becomes obsolete or inaccurate in any respect, it shall update such documentation or promptly notify the Borrower and the Administrative Agent in writing of its legal ineligibility to do so. Each Recipient hereby authorizes the Administrative Agent to deliver to the Loan Parties and to any successor Administrative Agent any documentation provided by such Recipient to the Administrative Agent pursuant to this </w:t>
      </w:r>
      <w:r>
        <w:rPr>
          <w:rFonts w:ascii="Times New Roman" w:hAnsi="Times New Roman"/>
          <w:color w:val="000000"/>
          <w:sz w:val="22"/>
          <w:u w:val="single"/>
        </w:rPr>
        <w:t>Section 2.17(f)</w:t>
      </w:r>
      <w:r>
        <w:rPr>
          <w:rFonts w:ascii="Times New Roman" w:hAnsi="Times New Roman"/>
          <w:color w:val="000000"/>
          <w:sz w:val="22"/>
        </w:rPr>
        <w:t xml:space="preserve">. Notwithstanding any other provision of this </w:t>
      </w:r>
      <w:r>
        <w:rPr>
          <w:rFonts w:ascii="Times New Roman" w:hAnsi="Times New Roman"/>
          <w:color w:val="000000"/>
          <w:sz w:val="22"/>
          <w:u w:val="single"/>
        </w:rPr>
        <w:t>Section 2.17(f)</w:t>
      </w:r>
      <w:r>
        <w:rPr>
          <w:rFonts w:ascii="Times New Roman" w:hAnsi="Times New Roman"/>
          <w:color w:val="000000"/>
          <w:sz w:val="22"/>
        </w:rPr>
        <w:t>, no Recipient shall be required to deliver any documentation that such Recipient is not legally eligible to deliver.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u w:val="single"/>
        </w:rPr>
        <w:t>Treatment of Certain Refunds</w:t>
      </w:r>
      <w:r>
        <w:rPr>
          <w:rFonts w:ascii="Times New Roman" w:hAnsi="Times New Roman"/>
          <w:color w:val="000000"/>
          <w:sz w:val="22"/>
        </w:rPr>
        <w:t xml:space="preserve">. If any party determines, in its sole discretion exercised in good faith, that it has received a refund of any Taxes as to which it has been indemnified pursuant to this </w:t>
      </w:r>
      <w:r>
        <w:rPr>
          <w:rFonts w:ascii="Times New Roman" w:hAnsi="Times New Roman"/>
          <w:color w:val="000000"/>
          <w:sz w:val="22"/>
          <w:u w:val="single"/>
        </w:rPr>
        <w:t>Section 2.17</w:t>
      </w:r>
      <w:r>
        <w:rPr>
          <w:color w:val="000000"/>
        </w:rPr>
        <w:t xml:space="preserve"> </w:t>
      </w:r>
      <w:r>
        <w:rPr>
          <w:rFonts w:ascii="Times New Roman" w:hAnsi="Times New Roman"/>
          <w:color w:val="000000"/>
          <w:sz w:val="22"/>
        </w:rPr>
        <w:t xml:space="preserve">(including by the payment of additional amounts pursuant to this </w:t>
      </w:r>
      <w:r>
        <w:rPr>
          <w:rFonts w:ascii="Times New Roman" w:hAnsi="Times New Roman"/>
          <w:color w:val="000000"/>
          <w:sz w:val="22"/>
          <w:u w:val="single"/>
        </w:rPr>
        <w:t>Section 2.17</w:t>
      </w:r>
      <w:r>
        <w:rPr>
          <w:rFonts w:ascii="Times New Roman" w:hAnsi="Times New Roman"/>
          <w:color w:val="000000"/>
          <w:sz w:val="22"/>
        </w:rPr>
        <w:t xml:space="preserve">), it shall pay to the indemnifying party an amount equal to such refund (but only to the extent of indemnity payments made under this </w:t>
      </w:r>
      <w:r>
        <w:rPr>
          <w:rFonts w:ascii="Times New Roman" w:hAnsi="Times New Roman"/>
          <w:color w:val="000000"/>
          <w:sz w:val="22"/>
          <w:u w:val="single"/>
        </w:rPr>
        <w:t>Section 2.17</w:t>
      </w:r>
      <w:r>
        <w:rPr>
          <w:color w:val="000000"/>
        </w:rPr>
        <w:t xml:space="preserve"> </w:t>
      </w:r>
      <w:r>
        <w:rPr>
          <w:rFonts w:ascii="Times New Roman" w:hAnsi="Times New Roman"/>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olor w:val="000000"/>
          <w:sz w:val="22"/>
          <w:u w:val="single"/>
        </w:rPr>
        <w:t>Section 2.17(g)</w:t>
      </w:r>
      <w:r>
        <w:rPr>
          <w:color w:val="000000"/>
        </w:rPr>
        <w:t xml:space="preserve"> </w:t>
      </w:r>
      <w:r>
        <w:rPr>
          <w:rFonts w:ascii="Times New Roman" w:hAnsi="Times New Roman"/>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2"/>
          <w:u w:val="single"/>
        </w:rPr>
        <w:t>Section 2.17(g)</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Section 2.17(g)</w:t>
      </w:r>
      <w:r>
        <w:rPr>
          <w:color w:val="000000"/>
        </w:rPr>
        <w:t xml:space="preserve"> </w:t>
      </w:r>
      <w:r>
        <w:rPr>
          <w:rFonts w:ascii="Times New Roman" w:hAnsi="Times New Roman"/>
          <w:color w:val="000000"/>
          <w:sz w:val="22"/>
        </w:rPr>
        <w:t xml:space="preserve">the payment of which would place the indemnified party in a less favorable net after-Tax position than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olor w:val="000000"/>
          <w:sz w:val="22"/>
          <w:u w:val="single"/>
        </w:rPr>
        <w:t>Section 2.17(g)</w:t>
      </w:r>
      <w:r>
        <w:rPr>
          <w:color w:val="000000"/>
        </w:rPr>
        <w:t xml:space="preserve"> </w:t>
      </w:r>
      <w:r>
        <w:rPr>
          <w:rFonts w:ascii="Times New Roman" w:hAnsi="Times New Roman"/>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xml:space="preserve">. Each party’s obligations under this </w:t>
      </w:r>
      <w:r>
        <w:rPr>
          <w:rFonts w:ascii="Times New Roman" w:hAnsi="Times New Roman"/>
          <w:color w:val="000000"/>
          <w:sz w:val="22"/>
          <w:u w:val="single"/>
        </w:rPr>
        <w:t>Section 2.17</w:t>
      </w:r>
      <w:r>
        <w:rPr>
          <w:color w:val="000000"/>
        </w:rPr>
        <w:t xml:space="preserve"> </w:t>
      </w:r>
      <w:r>
        <w:rPr>
          <w:rFonts w:ascii="Times New Roman" w:hAnsi="Times New Roman"/>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xml:space="preserve">. For purposes of this </w:t>
      </w:r>
      <w:r>
        <w:rPr>
          <w:rFonts w:ascii="Times New Roman" w:hAnsi="Times New Roman"/>
          <w:color w:val="000000"/>
          <w:sz w:val="22"/>
          <w:u w:val="single"/>
        </w:rPr>
        <w:t>Section 2.17</w:t>
      </w:r>
      <w:r>
        <w:rPr>
          <w:rFonts w:ascii="Times New Roman" w:hAnsi="Times New Roman"/>
          <w:color w:val="000000"/>
          <w:sz w:val="22"/>
        </w:rPr>
        <w:t>, the term “applicable law” includes FATCA and the term “Lender” includes any Issuing Bank or the Swingline Lender.</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7.18</w:t>
      </w:r>
    </w:p>
    <w:p>
      <w:pPr>
        <w:pStyle w:val="TextBody"/>
        <w:bidi w:val="0"/>
        <w:spacing w:before="0" w:after="240"/>
        <w:jc w:val="both"/>
        <w:rPr/>
      </w:pPr>
      <w:r>
        <w:rPr>
          <w:rFonts w:ascii="Times New Roman" w:hAnsi="Times New Roman"/>
          <w:color w:val="000000"/>
          <w:sz w:val="22"/>
          <w:u w:val="single"/>
        </w:rPr>
        <w:t>Payments Generally; Allocation of Proceeds; Pro Rata Treatment; Sharing of Setoffs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Borrower shall make each payment or prepayment required to be made by it hereunder (whether of principal, interest, fees or reimbursement of LC Disbursements, or of amounts payable under </w:t>
      </w:r>
      <w:r>
        <w:rPr>
          <w:rFonts w:ascii="Times New Roman" w:hAnsi="Times New Roman"/>
          <w:color w:val="000000"/>
          <w:sz w:val="22"/>
          <w:u w:val="single"/>
        </w:rPr>
        <w:t>Section 2.15</w:t>
      </w:r>
      <w:r>
        <w:rPr>
          <w:rFonts w:ascii="Times New Roman" w:hAnsi="Times New Roman"/>
          <w:color w:val="000000"/>
          <w:sz w:val="22"/>
        </w:rPr>
        <w:t xml:space="preserve">, or </w:t>
      </w:r>
      <w:r>
        <w:rPr>
          <w:rFonts w:ascii="Times New Roman" w:hAnsi="Times New Roman"/>
          <w:color w:val="000000"/>
          <w:sz w:val="22"/>
          <w:u w:val="single"/>
        </w:rPr>
        <w:t>2.17</w:t>
      </w:r>
      <w:r>
        <w:rPr>
          <w:rFonts w:ascii="Times New Roman" w:hAnsi="Times New Roman"/>
          <w:color w:val="000000"/>
          <w:sz w:val="22"/>
        </w:rPr>
        <w:t xml:space="preserve">, or otherwise) in Dollars prior to 2:00 p.m.,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 from time to time, except payments to be made directly to Issuing Banks or the Swingline Lender as expressly provided herein and except that payments pursuant to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9.03</w:t>
      </w:r>
      <w:r>
        <w:rPr>
          <w:color w:val="000000"/>
        </w:rPr>
        <w:t xml:space="preserve"> </w:t>
      </w:r>
      <w:r>
        <w:rPr>
          <w:rFonts w:ascii="Times New Roman" w:hAnsi="Times New Roman"/>
          <w:color w:val="000000"/>
          <w:sz w:val="22"/>
        </w:rPr>
        <w:t>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Any proceeds of Collateral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w:t>
      </w:r>
      <w:r>
        <w:rPr>
          <w:rFonts w:ascii="Times New Roman" w:hAnsi="Times New Roman"/>
          <w:color w:val="000000"/>
          <w:sz w:val="22"/>
          <w:u w:val="single"/>
        </w:rPr>
        <w:t>Section 2.11</w:t>
      </w:r>
      <w:r>
        <w:rPr>
          <w:rFonts w:ascii="Times New Roman" w:hAnsi="Times New Roman"/>
          <w:color w:val="000000"/>
          <w:sz w:val="22"/>
        </w:rPr>
        <w:t xml:space="preserve">) or (ii) after an Event of Default has occurred and is continuing and the Required Lenders so direct, shall be applied, subject to the terms of any applicable Acceptable Subordination or Intercreditor Agreement, ratably </w:t>
      </w:r>
      <w:r>
        <w:rPr>
          <w:rFonts w:ascii="Times New Roman" w:hAnsi="Times New Roman"/>
          <w:color w:val="000000"/>
          <w:sz w:val="22"/>
          <w:u w:val="single"/>
        </w:rPr>
        <w:t>first</w:t>
      </w:r>
      <w:r>
        <w:rPr>
          <w:rFonts w:ascii="Times New Roman" w:hAnsi="Times New Roman"/>
          <w:color w:val="000000"/>
          <w:sz w:val="22"/>
        </w:rPr>
        <w:t xml:space="preserve">, to pay any fees, indemnities, or expense reimbursements then payable to the Administrative Agent from the Borrower (other than in connection with Banking Services Obligations or Swap Agreement Obligations), </w:t>
      </w:r>
      <w:r>
        <w:rPr>
          <w:rFonts w:ascii="Times New Roman" w:hAnsi="Times New Roman"/>
          <w:color w:val="000000"/>
          <w:sz w:val="22"/>
          <w:u w:val="single"/>
        </w:rPr>
        <w:t>second</w:t>
      </w:r>
      <w:r>
        <w:rPr>
          <w:rFonts w:ascii="Times New Roman" w:hAnsi="Times New Roman"/>
          <w:color w:val="000000"/>
          <w:sz w:val="22"/>
        </w:rPr>
        <w:t xml:space="preserve">, to pay any fees, indemnities, or expense reimbursements (other than principal, reimbursement obligations in respect of LC Disbursements, interest and Letter of Credit fees) payable to the Lenders and Issuing Banks from the Borrower (other than in connection with Banking Services Obligations or Swap Agreement Obligations), </w:t>
      </w:r>
      <w:r>
        <w:rPr>
          <w:rFonts w:ascii="Times New Roman" w:hAnsi="Times New Roman"/>
          <w:color w:val="000000"/>
          <w:sz w:val="22"/>
          <w:u w:val="single"/>
        </w:rPr>
        <w:t>third</w:t>
      </w:r>
      <w:r>
        <w:rPr>
          <w:rFonts w:ascii="Times New Roman" w:hAnsi="Times New Roman"/>
          <w:color w:val="000000"/>
          <w:sz w:val="22"/>
        </w:rPr>
        <w:t xml:space="preserve">, to pay accrued and unpaid Letter of Credit fees, interest on unreimbursed LC Disbursements and interest on the Loans, ratably among the Lenders and Issuing Banks, </w:t>
      </w:r>
      <w:r>
        <w:rPr>
          <w:rFonts w:ascii="Times New Roman" w:hAnsi="Times New Roman"/>
          <w:color w:val="000000"/>
          <w:sz w:val="22"/>
          <w:u w:val="single"/>
        </w:rPr>
        <w:t>fourth</w:t>
      </w:r>
      <w:r>
        <w:rPr>
          <w:rFonts w:ascii="Times New Roman" w:hAnsi="Times New Roman"/>
          <w:color w:val="000000"/>
          <w:sz w:val="22"/>
        </w:rPr>
        <w:t xml:space="preserve">, (A) to pay unpaid principal on the Loans and unreimbursed LC Disbursements, (B) to pay any then-owing regularly scheduled payments or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termination payments (whether as a result of the occurrence of any event of default or other termination event) under any Swap Agreement Obligations and Banking Services Obligations up to and including the amount most recently provided to the Administrative Agent pursuant to </w:t>
      </w:r>
      <w:r>
        <w:rPr>
          <w:rFonts w:ascii="Times New Roman" w:hAnsi="Times New Roman"/>
          <w:color w:val="000000"/>
          <w:sz w:val="22"/>
          <w:u w:val="single"/>
        </w:rPr>
        <w:t>Section 2.23</w:t>
      </w:r>
      <w:r>
        <w:rPr>
          <w:color w:val="000000"/>
        </w:rPr>
        <w:t xml:space="preserve"> </w:t>
      </w:r>
      <w:r>
        <w:rPr>
          <w:rFonts w:ascii="Times New Roman" w:hAnsi="Times New Roman"/>
          <w:color w:val="000000"/>
          <w:sz w:val="22"/>
        </w:rPr>
        <w:t xml:space="preserve">and (C) to cash collateralize that portion of LC Exposure comprising the undrawn amount of Letters of Credit in an amount equal to one hundred one percent (101%) of such LC Exposure, to the extent not otherwise cash collateralized by the Borrower pursuant to </w:t>
      </w:r>
      <w:r>
        <w:rPr>
          <w:rFonts w:ascii="Times New Roman" w:hAnsi="Times New Roman"/>
          <w:color w:val="000000"/>
          <w:sz w:val="22"/>
          <w:u w:val="single"/>
        </w:rPr>
        <w:t>Section 2.06</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2.20</w:t>
      </w:r>
      <w:r>
        <w:rPr>
          <w:rFonts w:ascii="Times New Roman" w:hAnsi="Times New Roman"/>
          <w:color w:val="000000"/>
          <w:sz w:val="22"/>
        </w:rPr>
        <w:t xml:space="preserve">, ratably among the Lenders, Issuing Banks, Swap Agreement counterparties and Banking Services providers;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(x) any such amounts applied pursuant to subclause (C) above shall be paid to the Administrative Agent for the ratable account of the applicable Issuing Banks to cash collateralize Obligations in respect of Letters of Credit, (y) subject to </w:t>
      </w:r>
      <w:r>
        <w:rPr>
          <w:rFonts w:ascii="Times New Roman" w:hAnsi="Times New Roman"/>
          <w:color w:val="000000"/>
          <w:sz w:val="22"/>
          <w:u w:val="single"/>
        </w:rPr>
        <w:t>Section 2.06</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2.20</w:t>
      </w:r>
      <w:r>
        <w:rPr>
          <w:rFonts w:ascii="Times New Roman" w:hAnsi="Times New Roman"/>
          <w:color w:val="000000"/>
          <w:sz w:val="22"/>
        </w:rPr>
        <w:t xml:space="preserve">, amounts used to cash collateralize the aggregate amount of Letters of Credit pursuant to this subclause (C) shall be used to satisfy drawings under such Letters of Credit as they occur and (z) upon the expiration of any Letter of Credit (without any pending drawings), the pro rata share of cash collateral shall be distributed to the other Obligations, if any, in the order set forth in this </w:t>
      </w:r>
      <w:r>
        <w:rPr>
          <w:rFonts w:ascii="Times New Roman" w:hAnsi="Times New Roman"/>
          <w:color w:val="000000"/>
          <w:sz w:val="22"/>
          <w:u w:val="single"/>
        </w:rPr>
        <w:t>Section 2.18(b)</w:t>
      </w:r>
      <w:r>
        <w:rPr>
          <w:rFonts w:ascii="Times New Roman" w:hAnsi="Times New Roman"/>
          <w:color w:val="000000"/>
          <w:sz w:val="22"/>
        </w:rPr>
        <w:t xml:space="preserve">, and </w:t>
      </w:r>
      <w:r>
        <w:rPr>
          <w:rFonts w:ascii="Times New Roman" w:hAnsi="Times New Roman"/>
          <w:color w:val="000000"/>
          <w:sz w:val="22"/>
          <w:u w:val="single"/>
        </w:rPr>
        <w:t>fifth</w:t>
      </w:r>
      <w:r>
        <w:rPr>
          <w:rFonts w:ascii="Times New Roman" w:hAnsi="Times New Roman"/>
          <w:color w:val="000000"/>
          <w:sz w:val="22"/>
        </w:rPr>
        <w:t>, to the payment of any other Secured Obligation due to the Administrative Agent, any Lender or any other Secured Party from the Borrower or any other Loan Party</w:t>
      </w:r>
      <w:r>
        <w:rPr>
          <w:rFonts w:ascii="Times New Roman" w:hAnsi="Times New Roman"/>
          <w:i/>
          <w:color w:val="000000"/>
          <w:sz w:val="22"/>
        </w:rPr>
        <w:t xml:space="preserve">. </w:t>
      </w:r>
      <w:r>
        <w:rPr>
          <w:rFonts w:ascii="Times New Roman" w:hAnsi="Times New Roman"/>
          <w:color w:val="000000"/>
          <w:sz w:val="22"/>
        </w:rPr>
        <w:t xml:space="preserve">Notwithstanding anything to the contrary contained in this Agreement, unless so directed by the Borrower, or unless an Event of Default has occurred and is continuing, neither the Administrative Agent nor any Lender shall apply any payment which it receives to any Term Benchmark Loan, except (i) on the expiration date of the Interest Period applicable thereto, or (ii) in the event, and only to the extent, that there are no outstanding ABR Loans. Notwithstanding the foregoing, Secured Obligations arising under Banking Services Obligations or Swap Agreement Obligations shall be excluded from the application described above and paid in clause </w:t>
      </w:r>
      <w:r>
        <w:rPr>
          <w:rFonts w:ascii="Times New Roman" w:hAnsi="Times New Roman"/>
          <w:color w:val="000000"/>
          <w:sz w:val="22"/>
          <w:u w:val="single"/>
        </w:rPr>
        <w:t>sixth</w:t>
      </w:r>
      <w:r>
        <w:rPr>
          <w:color w:val="000000"/>
        </w:rPr>
        <w:t xml:space="preserve"> </w:t>
      </w:r>
      <w:r>
        <w:rPr>
          <w:rFonts w:ascii="Times New Roman" w:hAnsi="Times New Roman"/>
          <w:color w:val="000000"/>
          <w:sz w:val="22"/>
        </w:rPr>
        <w:t>if the Administrative Agent has not received written notice thereof, together with such supporting documentation as the Administrative Agent may have reasonably requested from the applicable provider of such Banking Services or Swap Agreements.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At the election of the Administrative Agent during the continuance of an Event of Default, all payments of principal, interest, LC Disbursements, fees, premiums, reimbursable expenses (including, without limitation, all reimbursement for fees, costs and expenses pursuant to </w:t>
      </w:r>
      <w:r>
        <w:rPr>
          <w:rFonts w:ascii="Times New Roman" w:hAnsi="Times New Roman"/>
          <w:color w:val="000000"/>
          <w:sz w:val="22"/>
          <w:u w:val="single"/>
        </w:rPr>
        <w:t>Section 9.03</w:t>
      </w:r>
      <w:r>
        <w:rPr>
          <w:rFonts w:ascii="Times New Roman" w:hAnsi="Times New Roman"/>
          <w:color w:val="000000"/>
          <w:sz w:val="22"/>
        </w:rPr>
        <w:t xml:space="preserve">), and other sums payable under the Loan Documents, may be paid from the proceeds of Borrowings made hereunder (regardless of the conditions set forth in </w:t>
      </w:r>
      <w:r>
        <w:rPr>
          <w:rFonts w:ascii="Times New Roman" w:hAnsi="Times New Roman"/>
          <w:color w:val="000000"/>
          <w:sz w:val="22"/>
          <w:u w:val="single"/>
        </w:rPr>
        <w:t>Section 4.04</w:t>
      </w:r>
      <w:r>
        <w:rPr>
          <w:color w:val="000000"/>
        </w:rPr>
        <w:t xml:space="preserve"> </w:t>
      </w:r>
      <w:r>
        <w:rPr>
          <w:rFonts w:ascii="Times New Roman" w:hAnsi="Times New Roman"/>
          <w:color w:val="000000"/>
          <w:sz w:val="22"/>
        </w:rPr>
        <w:t xml:space="preserve">not having been satisfied), whether made following a request by the Borrower pursuant to </w:t>
        <w:br/>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 xml:space="preserve">or a deemed request as provided in this Section, or may be deducted from any deposit account of the Borrower maintained with the Administrative Agent.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at any time insufficient funds are received by and available to the Administrative Agent to pay fully all amounts of principal, unreimbursed LC Disbursements, interest and fees then earned, due and payable hereunder, such funds shall be applied (i) first, towards payment of interest and fees then due hereunder, ratably among the parties entitled thereto in accordance with the amounts of interest and fees then due to such parties in accordance with this Agreement, and (ii) second, towards payment of principal and unreimbursed LC Disbursements then earned, due and payable hereunder, ratably among the parties entitled thereto in accordance with the amounts of principal and unreimbursed LC Disbursements then due to such parties in accordance with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otherwise set forth herein,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 w:hAnsi="Times New Roman"/>
          <w:i/>
          <w:color w:val="000000"/>
          <w:sz w:val="22"/>
        </w:rPr>
        <w:t xml:space="preserve">provided </w:t>
      </w:r>
      <w:r>
        <w:rPr>
          <w:rFonts w:ascii="Times New Roman" w:hAnsi="Times New Roman"/>
          <w:color w:val="000000"/>
          <w:sz w:val="22"/>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clause (b)(i) of the definition of “Excluded Taxes,” a participation acquired pursuant to this </w:t>
      </w:r>
      <w:r>
        <w:rPr>
          <w:rFonts w:ascii="Times New Roman" w:hAnsi="Times New Roman"/>
          <w:color w:val="000000"/>
          <w:sz w:val="22"/>
          <w:u w:val="single"/>
        </w:rPr>
        <w:t>Section 2.18(e)</w:t>
      </w:r>
      <w:r>
        <w:rPr>
          <w:color w:val="000000"/>
        </w:rPr>
        <w:t xml:space="preserve"> </w:t>
      </w:r>
      <w:r>
        <w:rPr>
          <w:rFonts w:ascii="Times New Roman" w:hAnsi="Times New Roman"/>
          <w:color w:val="000000"/>
          <w:sz w:val="22"/>
        </w:rPr>
        <w:t>shall be treated as having been acquired on the earlier date(s) on which the applicable Lender acquired the applicable interest in the Commitment(s) or Loan(s) to which such participation relates.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to the Administrative Agent pursuant to </w:t>
      </w:r>
      <w:r>
        <w:rPr>
          <w:rFonts w:ascii="Times New Roman" w:hAnsi="Times New Roman"/>
          <w:color w:val="000000"/>
          <w:sz w:val="22"/>
          <w:u w:val="single"/>
        </w:rPr>
        <w:t>Section 2.11(b)</w:t>
      </w:r>
      <w:r>
        <w:rPr>
          <w:rFonts w:ascii="Times New Roman" w:hAnsi="Times New Roman"/>
          <w:color w:val="000000"/>
          <w:sz w:val="22"/>
        </w:rPr>
        <w:t>),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7.19</w:t>
      </w:r>
    </w:p>
    <w:p>
      <w:pPr>
        <w:pStyle w:val="TextBody"/>
        <w:bidi w:val="0"/>
        <w:spacing w:before="0" w:after="240"/>
        <w:jc w:val="both"/>
        <w:rPr/>
      </w:pPr>
      <w:r>
        <w:rPr>
          <w:rFonts w:ascii="Times New Roman" w:hAnsi="Times New Roman"/>
          <w:color w:val="000000"/>
          <w:sz w:val="22"/>
          <w:u w:val="single"/>
        </w:rPr>
        <w:t>Mitigation Obligations; Replacement of Lenders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If any Lender requests compensation under </w:t>
      </w:r>
      <w:r>
        <w:rPr>
          <w:rFonts w:ascii="Times New Roman" w:hAnsi="Times New Roman"/>
          <w:color w:val="000000"/>
          <w:sz w:val="22"/>
          <w:u w:val="single"/>
        </w:rPr>
        <w:t>Section 2.15</w:t>
      </w:r>
      <w:r>
        <w:rPr>
          <w:rFonts w:ascii="Times New Roman" w:hAnsi="Times New Roman"/>
          <w:color w:val="000000"/>
          <w:sz w:val="22"/>
        </w:rPr>
        <w:t xml:space="preserve">, or if the Borrower is required to pay any Indemnified Taxes or additional amounts to any Lender or any Governmental Authority for the account of any Lender pursuant to </w:t>
      </w:r>
      <w:r>
        <w:rPr>
          <w:rFonts w:ascii="Times New Roman" w:hAnsi="Times New Roman"/>
          <w:color w:val="000000"/>
          <w:sz w:val="22"/>
          <w:u w:val="single"/>
        </w:rPr>
        <w:t>Section 2.17</w:t>
      </w:r>
      <w:r>
        <w:rPr>
          <w:rFonts w:ascii="Times New Roman" w:hAnsi="Times New Roman"/>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color w:val="000000"/>
          <w:sz w:val="22"/>
          <w:u w:val="single"/>
        </w:rPr>
        <w:t>Sections 2.15</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2.17</w:t>
      </w:r>
      <w:r>
        <w:rPr>
          <w:rFonts w:ascii="Times New Roman" w:hAnsi="Times New Roman"/>
          <w:color w:val="000000"/>
          <w:sz w:val="22"/>
        </w:rPr>
        <w:t xml:space="preserve">, as the case may be, in the future and (ii) would not subject such Lender to any material unreimbursed cost or expense and would not otherwise be materially disadvantageous to such Lender. The Borrower hereby agrees, subject to </w:t>
      </w:r>
      <w:r>
        <w:rPr>
          <w:rFonts w:ascii="Times New Roman" w:hAnsi="Times New Roman"/>
          <w:color w:val="000000"/>
          <w:sz w:val="22"/>
          <w:u w:val="single"/>
        </w:rPr>
        <w:t>Section 9.03(a)</w:t>
      </w:r>
      <w:r>
        <w:rPr>
          <w:rFonts w:ascii="Times New Roman" w:hAnsi="Times New Roman"/>
          <w:color w:val="000000"/>
          <w:sz w:val="22"/>
        </w:rPr>
        <w:t>, to pay all reasonable and documented out-of-pocket costs and expenses incurred by any Lender in connection with any such designation or assignment.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If any Lender requests compensation under </w:t>
      </w:r>
      <w:r>
        <w:rPr>
          <w:rFonts w:ascii="Times New Roman" w:hAnsi="Times New Roman"/>
          <w:color w:val="000000"/>
          <w:sz w:val="22"/>
          <w:u w:val="single"/>
        </w:rPr>
        <w:t>Section 2.15</w:t>
      </w:r>
      <w:r>
        <w:rPr>
          <w:rFonts w:ascii="Times New Roman" w:hAnsi="Times New Roman"/>
          <w:color w:val="000000"/>
          <w:sz w:val="22"/>
        </w:rPr>
        <w:t xml:space="preserve">, or if the Borrower is required to pay any Indemnified Taxes or additional amounts to any Lender or any Governmental Authority for the account of any Lender pursuant to </w:t>
      </w:r>
      <w:r>
        <w:rPr>
          <w:rFonts w:ascii="Times New Roman" w:hAnsi="Times New Roman"/>
          <w:color w:val="000000"/>
          <w:sz w:val="22"/>
          <w:u w:val="single"/>
        </w:rPr>
        <w:t>Section 2.17</w:t>
      </w:r>
      <w:r>
        <w:rPr>
          <w:rFonts w:ascii="Times New Roman" w:hAnsi="Times New Roman"/>
          <w:color w:val="000000"/>
          <w:sz w:val="22"/>
        </w:rPr>
        <w:t xml:space="preserve">, or if any Lender becomes a Defaulting Lender or a Non-Consenting Lender, then, in each case, the Borrower may, at its sole expense and effort, upon notice to such Lender and the Administrative Agent, require such Lender to assign and delegate, without recourse (in accordance with and subject to the restrictions contained in </w:t>
      </w:r>
      <w:r>
        <w:rPr>
          <w:rFonts w:ascii="Times New Roman" w:hAnsi="Times New Roman"/>
          <w:color w:val="000000"/>
          <w:sz w:val="22"/>
          <w:u w:val="single"/>
        </w:rPr>
        <w:t>Section 9.04</w:t>
      </w:r>
      <w:r>
        <w:rPr>
          <w:rFonts w:ascii="Times New Roman" w:hAnsi="Times New Roman"/>
          <w:color w:val="000000"/>
          <w:sz w:val="22"/>
        </w:rPr>
        <w:t xml:space="preserve">), all its interests, rights (other than its existing rights to payments pursuant to </w:t>
      </w:r>
      <w:r>
        <w:rPr>
          <w:rFonts w:ascii="Times New Roman" w:hAnsi="Times New Roman"/>
          <w:color w:val="000000"/>
          <w:sz w:val="22"/>
          <w:u w:val="single"/>
        </w:rPr>
        <w:t>Sections 2.15</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2.17</w:t>
      </w:r>
      <w:r>
        <w:rPr>
          <w:rFonts w:ascii="Times New Roman" w:hAnsi="Times New Roman"/>
          <w:color w:val="000000"/>
          <w:sz w:val="22"/>
        </w:rPr>
        <w:t xml:space="preserve">) and obligations under this Agreement and the other Loan Documents to an assignee that shall assume such obligations (which assignee may be another Lender, if a Lender accepts such assignment) or, at the Borrower’s election, reduce the Commitments on a non-pro rata basis; </w:t>
      </w:r>
      <w:r>
        <w:rPr>
          <w:rFonts w:ascii="Times New Roman" w:hAnsi="Times New Roman"/>
          <w:i/>
          <w:color w:val="000000"/>
          <w:sz w:val="22"/>
        </w:rPr>
        <w:t xml:space="preserve">provided </w:t>
      </w:r>
      <w:r>
        <w:rPr>
          <w:rFonts w:ascii="Times New Roman" w:hAnsi="Times New Roman"/>
          <w:color w:val="000000"/>
          <w:sz w:val="22"/>
        </w:rPr>
        <w:t xml:space="preserve">that (i) to the extent required under </w:t>
      </w:r>
      <w:r>
        <w:rPr>
          <w:rFonts w:ascii="Times New Roman" w:hAnsi="Times New Roman"/>
          <w:color w:val="000000"/>
          <w:sz w:val="22"/>
          <w:u w:val="single"/>
        </w:rPr>
        <w:t>Section 9.04</w:t>
      </w:r>
      <w:r>
        <w:rPr>
          <w:rFonts w:ascii="Times New Roman" w:hAnsi="Times New Roman"/>
          <w:color w:val="000000"/>
          <w:sz w:val="22"/>
        </w:rPr>
        <w:t xml:space="preserve">, the Borrower shall have received the prior written consent of the Administrative Agent (and if a Commitment is being assigned, the Issuing Banks and Swingline Lender), which consent shall not unreasonably be withheld, denied, conditioned or delayed,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or payments required to be made pursuant to </w:t>
      </w:r>
      <w:r>
        <w:rPr>
          <w:rFonts w:ascii="Times New Roman" w:hAnsi="Times New Roman"/>
          <w:color w:val="000000"/>
          <w:sz w:val="22"/>
          <w:u w:val="single"/>
        </w:rPr>
        <w:t>Section 2.17</w:t>
      </w:r>
      <w:r>
        <w:rPr>
          <w:rFonts w:ascii="Times New Roman" w:hAnsi="Times New Roman"/>
          <w:color w:val="000000"/>
          <w:sz w:val="22"/>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permanently cease to apply. Each party hereto agrees that (i) an assignment and delegation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and delegation need not be a party thereto in order for such assignment to be effective and shall be deemed to have consented to and be bound by the terms thereof; </w:t>
      </w:r>
      <w:r>
        <w:rPr>
          <w:rFonts w:ascii="Times New Roman" w:hAnsi="Times New Roman"/>
          <w:i/>
          <w:color w:val="000000"/>
          <w:sz w:val="22"/>
        </w:rPr>
        <w:t xml:space="preserve">provided </w:t>
      </w:r>
      <w:r>
        <w:rPr>
          <w:rFonts w:ascii="Times New Roman" w:hAnsi="Times New Roman"/>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i/>
          <w:color w:val="000000"/>
          <w:sz w:val="22"/>
        </w:rPr>
        <w:t xml:space="preserve">provided further </w:t>
      </w:r>
      <w:r>
        <w:rPr>
          <w:rFonts w:ascii="Times New Roman" w:hAnsi="Times New Roman"/>
          <w:color w:val="000000"/>
          <w:sz w:val="22"/>
        </w:rPr>
        <w:t>that any such documents shall be without recourse to or warranty by the parties thereto.</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7.20</w:t>
      </w:r>
    </w:p>
    <w:p>
      <w:pPr>
        <w:pStyle w:val="TextBody"/>
        <w:bidi w:val="0"/>
        <w:spacing w:before="0" w:after="240"/>
        <w:jc w:val="both"/>
        <w:rPr/>
      </w:pPr>
      <w:r>
        <w:rPr>
          <w:rFonts w:ascii="Times New Roman" w:hAnsi="Times New Roman"/>
          <w:color w:val="000000"/>
          <w:sz w:val="22"/>
          <w:u w:val="single"/>
        </w:rPr>
        <w:t>Defaulting Lenders</w:t>
      </w:r>
      <w:r>
        <w:rPr>
          <w:rFonts w:ascii="Times New Roman" w:hAnsi="Times New Roman"/>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Commitment Fees shall cease to accrue on the unfunded portion of the Commitment of such Defaulting Lender pursuant to </w:t>
      </w:r>
      <w:r>
        <w:rPr>
          <w:rFonts w:ascii="Times New Roman" w:hAnsi="Times New Roman"/>
          <w:color w:val="000000"/>
          <w:sz w:val="22"/>
          <w:u w:val="single"/>
        </w:rPr>
        <w:t>Section 2.12(a)</w:t>
      </w:r>
      <w:r>
        <w:rPr>
          <w:color w:val="000000"/>
        </w:rPr>
        <w:t xml:space="preserve"> </w:t>
      </w:r>
      <w:r>
        <w:rPr>
          <w:rFonts w:ascii="Times New Roman" w:hAnsi="Times New Roman"/>
          <w:color w:val="000000"/>
          <w:sz w:val="22"/>
        </w:rPr>
        <w:t>and the Defaulting Lender shall not be entitled to receive any interest at the default rate payable hereunder for any period during which that Lender is a Defaulting Lender (and the Borrower shall not be required to pay any such fee or interest that otherwise would have been required to have been paid to that Defaulting Lender);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2"/>
          <w:u w:val="single"/>
        </w:rPr>
        <w:t>Section 2.18(b)</w:t>
      </w:r>
      <w:r>
        <w:rPr>
          <w:color w:val="000000"/>
        </w:rPr>
        <w:t xml:space="preserve"> </w:t>
      </w:r>
      <w:r>
        <w:rPr>
          <w:rFonts w:ascii="Times New Roman" w:hAnsi="Times New Roman"/>
          <w:color w:val="000000"/>
          <w:sz w:val="22"/>
        </w:rPr>
        <w:t xml:space="preserve">or otherwise) or received by the Administrative Agent from a Defaulting Lender pursuant to </w:t>
      </w:r>
      <w:r>
        <w:rPr>
          <w:rFonts w:ascii="Times New Roman" w:hAnsi="Times New Roman"/>
          <w:color w:val="000000"/>
          <w:sz w:val="22"/>
          <w:u w:val="single"/>
        </w:rPr>
        <w:t>Section 9.08</w:t>
      </w:r>
      <w:r>
        <w:rPr>
          <w:color w:val="000000"/>
        </w:rPr>
        <w:t xml:space="preserve"> </w:t>
      </w:r>
      <w:r>
        <w:rPr>
          <w:rFonts w:ascii="Times New Roman" w:hAnsi="Times New Roman"/>
          <w:color w:val="000000"/>
          <w:sz w:val="22"/>
        </w:rPr>
        <w:t xml:space="preserve">shall be applied at such time or times as may be determined by the Administrative Agent as follows: </w:t>
      </w:r>
      <w:r>
        <w:rPr>
          <w:rFonts w:ascii="Times New Roman" w:hAnsi="Times New Roman"/>
          <w:i/>
          <w:color w:val="000000"/>
          <w:sz w:val="22"/>
        </w:rPr>
        <w:t>first</w:t>
      </w:r>
      <w:r>
        <w:rPr>
          <w:rFonts w:ascii="Times New Roman" w:hAnsi="Times New Roman"/>
          <w:color w:val="000000"/>
          <w:sz w:val="22"/>
        </w:rPr>
        <w:t xml:space="preserve">, to the payment of any amounts owing by such Defaulting Lender to the Administrative Agent hereunder; </w:t>
      </w:r>
      <w:r>
        <w:rPr>
          <w:rFonts w:ascii="Times New Roman" w:hAnsi="Times New Roman"/>
          <w:i/>
          <w:color w:val="000000"/>
          <w:sz w:val="22"/>
        </w:rPr>
        <w:t>second</w:t>
      </w:r>
      <w:r>
        <w:rPr>
          <w:rFonts w:ascii="Times New Roman" w:hAnsi="Times New Roman"/>
          <w:color w:val="000000"/>
          <w:sz w:val="22"/>
        </w:rPr>
        <w:t xml:space="preserve">, to the payment on a pro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rata basis of any amounts owing by such Defaulting Lender to any Issuing Bank or the Swingline Lender hereunder; </w:t>
      </w:r>
      <w:r>
        <w:rPr>
          <w:rFonts w:ascii="Times New Roman" w:hAnsi="Times New Roman"/>
          <w:i/>
          <w:color w:val="000000"/>
          <w:sz w:val="22"/>
        </w:rPr>
        <w:t>third</w:t>
      </w:r>
      <w:r>
        <w:rPr>
          <w:rFonts w:ascii="Times New Roman" w:hAnsi="Times New Roman"/>
          <w:color w:val="000000"/>
          <w:sz w:val="22"/>
        </w:rPr>
        <w:t xml:space="preserve">, to cash collateralize LC Exposure with respect to such Defaulting Lender in accordance with this </w:t>
      </w:r>
      <w:r>
        <w:rPr>
          <w:rFonts w:ascii="Times New Roman" w:hAnsi="Times New Roman"/>
          <w:color w:val="000000"/>
          <w:sz w:val="22"/>
          <w:u w:val="single"/>
        </w:rPr>
        <w:t>Section 2.20</w:t>
      </w:r>
      <w:r>
        <w:rPr>
          <w:rFonts w:ascii="Times New Roman" w:hAnsi="Times New Roman"/>
          <w:color w:val="000000"/>
          <w:sz w:val="22"/>
        </w:rPr>
        <w:t xml:space="preserve">; </w:t>
      </w:r>
      <w:r>
        <w:rPr>
          <w:rFonts w:ascii="Times New Roman" w:hAnsi="Times New Roman"/>
          <w:i/>
          <w:color w:val="000000"/>
          <w:sz w:val="22"/>
        </w:rPr>
        <w:t>fourth</w:t>
      </w:r>
      <w:r>
        <w:rPr>
          <w:rFonts w:ascii="Times New Roman" w:hAnsi="Times New Roman"/>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color w:val="000000"/>
          <w:sz w:val="22"/>
        </w:rPr>
        <w:t>fifth</w:t>
      </w:r>
      <w:r>
        <w:rPr>
          <w:rFonts w:ascii="Times New Roman" w:hAnsi="Times New Roman"/>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w:t>
      </w:r>
      <w:r>
        <w:rPr>
          <w:rFonts w:ascii="Times New Roman" w:hAnsi="Times New Roman"/>
          <w:color w:val="000000"/>
          <w:sz w:val="22"/>
          <w:u w:val="single"/>
        </w:rPr>
        <w:t>Section 2.20</w:t>
      </w:r>
      <w:r>
        <w:rPr>
          <w:rFonts w:ascii="Times New Roman" w:hAnsi="Times New Roman"/>
          <w:color w:val="000000"/>
          <w:sz w:val="22"/>
        </w:rPr>
        <w:t xml:space="preserve">; </w:t>
      </w:r>
      <w:r>
        <w:rPr>
          <w:rFonts w:ascii="Times New Roman" w:hAnsi="Times New Roman"/>
          <w:i/>
          <w:color w:val="000000"/>
          <w:sz w:val="22"/>
        </w:rPr>
        <w:t>sixth</w:t>
      </w:r>
      <w:r>
        <w:rPr>
          <w:rFonts w:ascii="Times New Roman" w:hAnsi="Times New Roman"/>
          <w:color w:val="000000"/>
          <w:sz w:val="22"/>
        </w:rPr>
        <w:t xml:space="preserve">, to the payment of any amounts owing to the Lenders, the Issuing Banks or the Swingline Lender as a result of any judgment of a court of competent jurisdiction obtained by any Lender, the Issuing Banks or the Swingline Lender against such Defaulting Lender as a result of such Defaulting Lender’s breach of its obligations under this Agreement or under any other Loan Document; </w:t>
      </w:r>
      <w:r>
        <w:rPr>
          <w:rFonts w:ascii="Times New Roman" w:hAnsi="Times New Roman"/>
          <w:i/>
          <w:color w:val="000000"/>
          <w:sz w:val="22"/>
        </w:rPr>
        <w:t>seventh</w:t>
      </w:r>
      <w:r>
        <w:rPr>
          <w:rFonts w:ascii="Times New Roman" w:hAnsi="Times New Roman"/>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hAnsi="Times New Roman"/>
          <w:i/>
          <w:color w:val="000000"/>
          <w:sz w:val="22"/>
        </w:rPr>
        <w:t>eighth</w:t>
      </w:r>
      <w:r>
        <w:rPr>
          <w:rFonts w:ascii="Times New Roman" w:hAnsi="Times New Roman"/>
          <w:color w:val="000000"/>
          <w:sz w:val="22"/>
        </w:rPr>
        <w:t xml:space="preserve">, to such Defaulting Lender or as otherwise directed by a court of competent jurisdiction; </w:t>
      </w:r>
      <w:r>
        <w:rPr>
          <w:rFonts w:ascii="Times New Roman" w:hAnsi="Times New Roman"/>
          <w:i/>
          <w:color w:val="000000"/>
          <w:sz w:val="22"/>
        </w:rPr>
        <w:t xml:space="preserve">provided </w:t>
      </w:r>
      <w:r>
        <w:rPr>
          <w:rFonts w:ascii="Times New Roman" w:hAnsi="Times New Roman"/>
          <w:color w:val="000000"/>
          <w:sz w:val="22"/>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hAnsi="Times New Roman"/>
          <w:color w:val="000000"/>
          <w:sz w:val="22"/>
          <w:u w:val="single"/>
        </w:rPr>
        <w:t>Section 4.04</w:t>
      </w:r>
      <w:r>
        <w:rPr>
          <w:color w:val="000000"/>
        </w:rPr>
        <w:t xml:space="preserve"> </w:t>
      </w:r>
      <w:r>
        <w:rPr>
          <w:rFonts w:ascii="Times New Roman" w:hAnsi="Times New Roman"/>
          <w:color w:val="000000"/>
          <w:sz w:val="22"/>
        </w:rPr>
        <w:t xml:space="preserve">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shall be deemed paid to and redirected by such Defaulting Lender, and each Lender irrevocably consents 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the Commitment and Credit Exposure of such Defaulting Lender shall not be included in determining whether the Required Lenders have taken or may take any action hereunder (including any consent to any amendment, waiver or other modification pursuant to </w:t>
      </w:r>
      <w:r>
        <w:rPr>
          <w:rFonts w:ascii="Times New Roman" w:hAnsi="Times New Roman"/>
          <w:color w:val="000000"/>
          <w:sz w:val="22"/>
          <w:u w:val="single"/>
        </w:rPr>
        <w:t>Section 9.02</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this clause (c) shall not apply to the vote of a Defaulting Lender in the case of an amendment, waiver or other modification requiring the consent of all Lenders or each directly and adversely affected Lender;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Swingline Exposure or LC Exposure exists at the time such Lender becomes a Defaulting Lender then: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Credit Exposure to exceed its Commitment;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 xml:space="preserve">if the reallocation described in clause (i) above cannot, or can only partially, be effected, the Borrower shall within one Business Day following notice by the Administrative Agent (x) first, prepay such Swingline Exposure and (y) second, cash collateralize at 100% for the benefit of the Issuing Banks only the Borrower’s obligations corresponding to such Defaulting Lender’s LC Exposure (after giving effect to any partial reallocation pursuant to clause (i) above) in accordance with the procedures set forth in </w:t>
      </w:r>
      <w:r>
        <w:rPr>
          <w:rFonts w:ascii="Times New Roman" w:hAnsi="Times New Roman"/>
          <w:color w:val="000000"/>
          <w:sz w:val="22"/>
          <w:u w:val="single"/>
        </w:rPr>
        <w:t>Section 2.06</w:t>
      </w:r>
      <w:r>
        <w:rPr>
          <w:rFonts w:ascii="Times New Roman" w:hAnsi="Times New Roman"/>
          <w:color w:val="000000"/>
          <w:sz w:val="22"/>
        </w:rPr>
        <w:t>(j) for so long as such LC Exposure is outstanding;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if the Borrower cash collateralizes any portion of such Defaulting Lender’s LC Exposure pursuant to clause (ii) above, the Borrower shall not be required to pay any fees to such Defaulting Lender pursuant to </w:t>
      </w:r>
      <w:r>
        <w:rPr>
          <w:rFonts w:ascii="Times New Roman" w:hAnsi="Times New Roman"/>
          <w:color w:val="000000"/>
          <w:sz w:val="22"/>
          <w:u w:val="single"/>
        </w:rPr>
        <w:t>Section 2.12</w:t>
      </w:r>
      <w:r>
        <w:rPr>
          <w:rFonts w:ascii="Times New Roman" w:hAnsi="Times New Roman"/>
          <w:color w:val="000000"/>
          <w:sz w:val="22"/>
        </w:rPr>
        <w:t>(b) with respect to such Defaulting Lender’s LC Exposure during the period such Defaulting Lender’s LC Exposure is cash collateralized;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pPr>
      <w:r>
        <w:rPr>
          <w:rFonts w:ascii="Times New Roman" w:hAnsi="Times New Roman"/>
          <w:color w:val="000000"/>
          <w:sz w:val="22"/>
        </w:rPr>
        <w:t xml:space="preserve">if the LC Exposure of the non-Defaulting Lenders is reallocated pursuant to clause (i) above, then the fees payable to the Lenders pursuant to </w:t>
      </w:r>
      <w:r>
        <w:rPr>
          <w:rFonts w:ascii="Times New Roman" w:hAnsi="Times New Roman"/>
          <w:color w:val="000000"/>
          <w:sz w:val="22"/>
          <w:u w:val="single"/>
        </w:rPr>
        <w:t>Section 2.12</w:t>
      </w:r>
      <w:r>
        <w:rPr>
          <w:rFonts w:ascii="Times New Roman" w:hAnsi="Times New Roman"/>
          <w:color w:val="000000"/>
          <w:sz w:val="22"/>
        </w:rPr>
        <w:t xml:space="preserve">(a) and </w:t>
      </w:r>
      <w:r>
        <w:rPr>
          <w:rFonts w:ascii="Times New Roman" w:hAnsi="Times New Roman"/>
          <w:color w:val="000000"/>
          <w:sz w:val="22"/>
          <w:u w:val="single"/>
        </w:rPr>
        <w:t>2.12</w:t>
      </w:r>
      <w:r>
        <w:rPr>
          <w:rFonts w:ascii="Times New Roman" w:hAnsi="Times New Roman"/>
          <w:color w:val="000000"/>
          <w:sz w:val="22"/>
        </w:rPr>
        <w:t xml:space="preserve">(b) shall be adjusted in accordance with such non-Defaulting Lenders’ Applicable Percentages;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Defaulting Lender shall not be entitled to receive any interest at the default rate payable hereunder for any period during which that Lender is a Defaulting Lender (and the Borrower shall not be required to pay any such fee or interest that otherwise would have been required to have been paid to that Defaulting Lender);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both"/>
        <w:rPr/>
      </w:pPr>
      <w:r>
        <w:rPr>
          <w:rFonts w:ascii="Times New Roman" w:hAnsi="Times New Roman"/>
          <w:color w:val="000000"/>
          <w:sz w:val="22"/>
        </w:rPr>
        <w:t xml:space="preserve">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w:t>
      </w:r>
      <w:r>
        <w:rPr>
          <w:rFonts w:ascii="Times New Roman" w:hAnsi="Times New Roman"/>
          <w:color w:val="000000"/>
          <w:sz w:val="22"/>
          <w:u w:val="single"/>
        </w:rPr>
        <w:t>Section 2.12</w:t>
      </w:r>
      <w:r>
        <w:rPr>
          <w:rFonts w:ascii="Times New Roman" w:hAnsi="Times New Roman"/>
          <w:color w:val="000000"/>
          <w:sz w:val="22"/>
        </w:rPr>
        <w:t>(b) with respect to such Defaulting Lender’s LC Exposure shall be payable to the Issuing Banks until and to the extent that such LC Exposure is reallocated and/or cash collateralized;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w:t>
      </w:r>
      <w:r>
        <w:rPr>
          <w:rFonts w:ascii="Times New Roman" w:hAnsi="Times New Roman"/>
          <w:color w:val="000000"/>
          <w:sz w:val="22"/>
          <w:u w:val="single"/>
        </w:rPr>
        <w:t>Section 2.20(d)</w:t>
      </w:r>
      <w:r>
        <w:rPr>
          <w:rFonts w:ascii="Times New Roman" w:hAnsi="Times New Roman"/>
          <w:color w:val="000000"/>
          <w:sz w:val="22"/>
        </w:rPr>
        <w:t xml:space="preserve">, and Swingline Exposure related to any newly made Swingline Loan or LC Exposure related to any newly issued or increased Letter of Credit shall be allocated among non-Defaulting Lenders in a manner consistent with </w:t>
      </w:r>
      <w:r>
        <w:rPr>
          <w:rFonts w:ascii="Times New Roman" w:hAnsi="Times New Roman"/>
          <w:color w:val="000000"/>
          <w:sz w:val="22"/>
          <w:u w:val="single"/>
        </w:rPr>
        <w:t>Section 2.20(d)(i)</w:t>
      </w:r>
      <w:r>
        <w:rPr>
          <w:color w:val="000000"/>
        </w:rPr>
        <w:t xml:space="preserve"> </w:t>
      </w:r>
      <w:r>
        <w:rPr>
          <w:rFonts w:ascii="Times New Roman" w:hAnsi="Times New Roman"/>
          <w:color w:val="000000"/>
          <w:sz w:val="22"/>
        </w:rPr>
        <w:t>(and such Defaulting Lender shall not participate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the Swingline Lender or the Issuing Banks, as the case may be, shall have entered into arrangements with the Borrower or such Lender, satisfactory to such Swingline Lender or Issuing Bank, as the case may be, to defease any risk to it in respect of such Lender hereunder.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each of the Administrative Agent, the Borrower, the Swingline Lender and each Issuing Bank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7.21</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7.22</w:t>
      </w:r>
    </w:p>
    <w:p>
      <w:pPr>
        <w:pStyle w:val="TextBody"/>
        <w:bidi w:val="0"/>
        <w:spacing w:before="0" w:after="240"/>
        <w:jc w:val="both"/>
        <w:rPr/>
      </w:pPr>
      <w:r>
        <w:rPr>
          <w:rFonts w:ascii="Times New Roman" w:hAnsi="Times New Roman"/>
          <w:color w:val="000000"/>
          <w:sz w:val="22"/>
          <w:u w:val="single"/>
        </w:rPr>
        <w:t>Expansion Option; Incremental Facilities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The Borrower may from time to time elect to increase the Commitments in a minimum amount of $5,000,000 and an integral multiple of $1,000,000 in excess thereof (each, an “</w:t>
      </w:r>
      <w:r>
        <w:rPr>
          <w:rFonts w:ascii="Times New Roman" w:hAnsi="Times New Roman"/>
          <w:b/>
          <w:i/>
          <w:color w:val="000000"/>
          <w:sz w:val="22"/>
        </w:rPr>
        <w:t>Incremental Facility</w:t>
      </w:r>
      <w:r>
        <w:rPr>
          <w:color w:val="000000"/>
        </w:rPr>
        <w:t>”</w:t>
      </w:r>
      <w:r>
        <w:rPr>
          <w:rFonts w:ascii="Times New Roman" w:hAnsi="Times New Roman"/>
          <w:color w:val="000000"/>
          <w:sz w:val="22"/>
        </w:rPr>
        <w:t xml:space="preserve">); provided that the aggregate amount of all such Commitment increases, after giving effect thereto, shall not exceed the Incremental Cap; provided, further, that to the extent that a Leverage Covenant Triggering Event has not occurred as of the date of such increase in Commitments, the Minimum Liquidity Covenant shall be amended to increase the required minimum Liquidity to an amount equal to </w:t>
      </w:r>
      <w:r>
        <w:rPr>
          <w:rFonts w:ascii="Times New Roman" w:hAnsi="Times New Roman"/>
          <w:strike/>
          <w:color w:val="FF0000"/>
          <w:sz w:val="22"/>
        </w:rPr>
        <w:t>40</w:t>
      </w:r>
      <w:r>
        <w:rPr>
          <w:rFonts w:ascii="Times New Roman" w:hAnsi="Times New Roman"/>
          <w:color w:val="0000FF"/>
          <w:sz w:val="22"/>
          <w:u w:val="single"/>
        </w:rPr>
        <w:t>125</w:t>
      </w:r>
      <w:r>
        <w:rPr>
          <w:rFonts w:ascii="Times New Roman" w:hAnsi="Times New Roman"/>
          <w:color w:val="000000"/>
          <w:sz w:val="22"/>
        </w:rPr>
        <w:t xml:space="preserve">.0% of the aggregate amount of the Commitments after giving effect to such increased Commitments. Each request from the Borrower pursuant to this </w:t>
      </w:r>
      <w:r>
        <w:rPr>
          <w:rFonts w:ascii="Times New Roman" w:hAnsi="Times New Roman"/>
          <w:color w:val="000000"/>
          <w:sz w:val="22"/>
          <w:u w:val="single"/>
        </w:rPr>
        <w:t>Section 2.22</w:t>
      </w:r>
      <w:r>
        <w:rPr>
          <w:color w:val="000000"/>
        </w:rPr>
        <w:t xml:space="preserve"> </w:t>
      </w:r>
      <w:r>
        <w:rPr>
          <w:rFonts w:ascii="Times New Roman" w:hAnsi="Times New Roman"/>
          <w:color w:val="000000"/>
          <w:sz w:val="22"/>
        </w:rPr>
        <w:t>shall set forth the requested amount and proposed terms of the relevant Commitment increase. The Borrower may arrange for any such Commitment increase to be provided by one or more Lenders (each Lender so agreeing to an increase in its Commitment, an “</w:t>
      </w:r>
      <w:r>
        <w:rPr>
          <w:rFonts w:ascii="Times New Roman" w:hAnsi="Times New Roman"/>
          <w:b/>
          <w:i/>
          <w:color w:val="000000"/>
          <w:sz w:val="22"/>
        </w:rPr>
        <w:t>Increasing Lender</w:t>
      </w:r>
      <w:r>
        <w:rPr>
          <w:color w:val="000000"/>
        </w:rPr>
        <w:t>”</w:t>
      </w:r>
      <w:r>
        <w:rPr>
          <w:rFonts w:ascii="Times New Roman" w:hAnsi="Times New Roman"/>
          <w:color w:val="000000"/>
          <w:sz w:val="22"/>
        </w:rPr>
        <w:t>), or by one or more new banks, financial institutions or other entities (each such new bank, financial institution or other entity, an “</w:t>
      </w:r>
      <w:r>
        <w:rPr>
          <w:rFonts w:ascii="Times New Roman" w:hAnsi="Times New Roman"/>
          <w:b/>
          <w:i/>
          <w:color w:val="000000"/>
          <w:sz w:val="22"/>
        </w:rPr>
        <w:t>Augmenting Lender</w:t>
      </w:r>
      <w:r>
        <w:rPr>
          <w:color w:val="000000"/>
        </w:rPr>
        <w:t>”</w:t>
      </w:r>
      <w:r>
        <w:rPr>
          <w:rFonts w:ascii="Times New Roman" w:hAnsi="Times New Roman"/>
          <w:color w:val="000000"/>
          <w:sz w:val="22"/>
        </w:rPr>
        <w:t xml:space="preserve">), to increase the existing Commitments; </w:t>
      </w:r>
      <w:r>
        <w:rPr>
          <w:rFonts w:ascii="Times New Roman" w:hAnsi="Times New Roman"/>
          <w:i/>
          <w:color w:val="000000"/>
          <w:sz w:val="22"/>
        </w:rPr>
        <w:t>provided</w:t>
      </w:r>
      <w:r>
        <w:rPr>
          <w:rFonts w:ascii="Times New Roman" w:hAnsi="Times New Roman"/>
          <w:color w:val="000000"/>
          <w:sz w:val="22"/>
        </w:rPr>
        <w:t xml:space="preserve">, that each Augmenting Lender (other than any Affiliate of an existing Lender) shall, to the extent required by </w:t>
      </w:r>
      <w:r>
        <w:rPr>
          <w:rFonts w:ascii="Times New Roman" w:hAnsi="Times New Roman"/>
          <w:color w:val="000000"/>
          <w:sz w:val="22"/>
          <w:u w:val="single"/>
        </w:rPr>
        <w:t>Section 9.04</w:t>
      </w:r>
      <w:r>
        <w:rPr>
          <w:rFonts w:ascii="Times New Roman" w:hAnsi="Times New Roman"/>
          <w:color w:val="000000"/>
          <w:sz w:val="22"/>
        </w:rPr>
        <w:t>, be subject to the approval of the Administrative Agent and the Issuing Bank and the Swingline Lender, which approvals shall not be unreasonably withheld, denied,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 existing Lender shall have any obligation or be required to provide any Commitment increase unless it expressly so agrees. No consent of any Lender (other than the Lenders participating in such Commitment increase) shall be required for any such increase pursuant to this </w:t>
      </w:r>
      <w:r>
        <w:rPr>
          <w:rFonts w:ascii="Times New Roman" w:hAnsi="Times New Roman"/>
          <w:color w:val="000000"/>
          <w:sz w:val="22"/>
          <w:u w:val="single"/>
        </w:rPr>
        <w:t>Section 2.22</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Commitment increases created pursuant to this </w:t>
      </w:r>
      <w:r>
        <w:rPr>
          <w:rFonts w:ascii="Times New Roman" w:hAnsi="Times New Roman"/>
          <w:color w:val="000000"/>
          <w:sz w:val="22"/>
          <w:u w:val="single"/>
        </w:rPr>
        <w:t>Section 2.22</w:t>
      </w:r>
      <w:r>
        <w:rPr>
          <w:color w:val="000000"/>
        </w:rPr>
        <w:t xml:space="preserve"> </w:t>
      </w:r>
      <w:r>
        <w:rPr>
          <w:rFonts w:ascii="Times New Roman" w:hAnsi="Times New Roman"/>
          <w:color w:val="000000"/>
          <w:sz w:val="22"/>
        </w:rPr>
        <w:t>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shall become effective under this paragraph unless on the proposed date of the effectiveness of such Commitment increase, subject to a Limited Condition Transaction: (1) the representations and warranties of the Loan Parties and their Subsidiaries set forth in this Agreement are true and correct in all material respects (except that such materiality qualifier shall not be applicable to any representation or warranty to the extent that it is already qualified or modified by materiality in the text thereof) as of such date (except to the extent any such representation or warranty expressly relates to an earlier date, in which case, such representation or warranty shall be true and correct in all material respects as of such earlier date (except that such materiality qualifier shall not be applicable to any representation or warranty to the extent that it is already qualified or modified by materiality in the text thereof)); and (2) no Event of Default exists on such date.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On the effective date of any increase in the Commitments, (i) to the extent applicable,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Commitment increase and the use of such amounts to make payments to such other Lenders, each Lender’s portion of the outstanding Loans of all the Lenders to equal its Applicable Percentage of such outstanding Loans and (ii) the Borrower shall be deemed to have repaid and reborrowed all outstanding Loans as of the date of any increase in the Commitments (with such reborrowing to consist of the Types of Loans, with related Interest Periods if applicable, specified in a notice delivered by the Borrower, in accordance with the requirements of </w:t>
      </w:r>
      <w:r>
        <w:rPr>
          <w:rFonts w:ascii="Times New Roman" w:hAnsi="Times New Roman"/>
          <w:color w:val="000000"/>
          <w:sz w:val="22"/>
          <w:u w:val="single"/>
        </w:rPr>
        <w:t>Section 2.03</w:t>
      </w:r>
      <w:r>
        <w:rPr>
          <w:rFonts w:ascii="Times New Roman" w:hAnsi="Times New Roman"/>
          <w:color w:val="000000"/>
          <w:sz w:val="22"/>
        </w:rPr>
        <w:t>). The deemed payments made pursuant to clause (ii) of the immediately preceding sentence shall be accompanied by payment of all accrued interest on the amount prepaid. The terms (including interest and fees) of any increase in the Commitments shall be the same to those of the existing Commitments.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The Borrower and the Administrative Agent may, without the consent of any other Lenders, effect such amendments to this Agreement (including, if applicable, the modification to the Minimum Liquidity Covenant described in clause (a) above) and the other Loan Documents as may be necessary or appropriate, in the reasonable opinion of the Administrative Agent and the Borrower, to effect the provisions of this </w:t>
      </w:r>
      <w:r>
        <w:rPr>
          <w:rFonts w:ascii="Times New Roman" w:hAnsi="Times New Roman"/>
          <w:color w:val="000000"/>
          <w:sz w:val="22"/>
          <w:u w:val="single"/>
        </w:rPr>
        <w:t>Section 2.22</w:t>
      </w:r>
      <w:r>
        <w:rPr>
          <w:rFonts w:ascii="Times New Roman" w:hAnsi="Times New Roman"/>
          <w:color w:val="000000"/>
          <w:sz w:val="22"/>
        </w:rPr>
        <w:t xml:space="preserve">. Nothing contained in this </w:t>
      </w:r>
      <w:r>
        <w:rPr>
          <w:rFonts w:ascii="Times New Roman" w:hAnsi="Times New Roman"/>
          <w:color w:val="000000"/>
          <w:sz w:val="22"/>
          <w:u w:val="single"/>
        </w:rPr>
        <w:t>Section 2.22</w:t>
      </w:r>
      <w:r>
        <w:rPr>
          <w:color w:val="000000"/>
        </w:rPr>
        <w:t xml:space="preserve"> </w:t>
      </w:r>
      <w:r>
        <w:rPr>
          <w:rFonts w:ascii="Times New Roman" w:hAnsi="Times New Roman"/>
          <w:color w:val="000000"/>
          <w:sz w:val="22"/>
        </w:rPr>
        <w:t>shall constitute, or otherwise be deemed to be, a commitment on the part of any Lender to increase its Commitment hereunder at any time.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7.23</w:t>
      </w:r>
    </w:p>
    <w:p>
      <w:pPr>
        <w:pStyle w:val="TextBody"/>
        <w:bidi w:val="0"/>
        <w:spacing w:before="0" w:after="240"/>
        <w:jc w:val="both"/>
        <w:rPr/>
      </w:pPr>
      <w:r>
        <w:rPr>
          <w:rFonts w:ascii="Times New Roman" w:hAnsi="Times New Roman"/>
          <w:color w:val="000000"/>
          <w:sz w:val="22"/>
          <w:u w:val="single"/>
        </w:rPr>
        <w:t>Banking Services and Swap Agreements</w:t>
      </w:r>
      <w:r>
        <w:rPr>
          <w:rFonts w:ascii="Times New Roman" w:hAnsi="Times New Roman"/>
          <w:color w:val="000000"/>
          <w:sz w:val="22"/>
        </w:rPr>
        <w:t xml:space="preserve">. Each Lender or Affiliate thereof providing Banking Services for, or having Swap Agreements with, any Loan Party or any Subsidiary shall deliver to the Administrative Agent, promptly after entering into such Banking Services or Swap Agreements, written notice setting forth the aggregate amount of all Banking Services Obligations and Swap Agreement Obligations of such Loan Party or Subsidiary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w:t>
      </w:r>
      <w:r>
        <w:rPr>
          <w:rFonts w:ascii="Times New Roman" w:hAnsi="Times New Roman"/>
          <w:color w:val="000000"/>
          <w:sz w:val="22"/>
          <w:u w:val="single"/>
        </w:rPr>
        <w:t>Section 2.18</w:t>
      </w:r>
      <w:r>
        <w:rPr>
          <w:rFonts w:ascii="Times New Roman" w:hAnsi="Times New Roman"/>
          <w:color w:val="000000"/>
          <w:sz w:val="22"/>
        </w:rPr>
        <w:t xml:space="preserve">(b), such Banking Services Obligations and/or Swap Agreement Obligations will be placed. For the avoidance of doubt, so long as Wells Fargo or its Affiliate is the Administrative Agent, neither Wells Fargo nor any of its Affiliates providing Banking Services for, or having Swap Agreements with, any Loan Party shall be required to provide any notice described in this </w:t>
      </w:r>
      <w:r>
        <w:rPr>
          <w:rFonts w:ascii="Times New Roman" w:hAnsi="Times New Roman"/>
          <w:color w:val="000000"/>
          <w:sz w:val="22"/>
          <w:u w:val="single"/>
        </w:rPr>
        <w:t>Section 2.23</w:t>
      </w:r>
      <w:r>
        <w:rPr>
          <w:color w:val="000000"/>
        </w:rPr>
        <w:t xml:space="preserve"> </w:t>
      </w:r>
      <w:r>
        <w:rPr>
          <w:rFonts w:ascii="Times New Roman" w:hAnsi="Times New Roman"/>
          <w:color w:val="000000"/>
          <w:sz w:val="22"/>
        </w:rPr>
        <w:t>(and shall be deemed to have provided notices for all such amounts due or to become due for purposes hereof) in respect of such Banking Services or Swap Agreements.</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VIII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and each other Loan Party represents and warrants to the Lenders that: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8.01</w:t>
      </w:r>
    </w:p>
    <w:p>
      <w:pPr>
        <w:pStyle w:val="TextBody"/>
        <w:bidi w:val="0"/>
        <w:spacing w:before="0" w:after="240"/>
        <w:jc w:val="both"/>
        <w:rPr/>
      </w:pPr>
      <w:r>
        <w:rPr>
          <w:rFonts w:ascii="Times New Roman" w:hAnsi="Times New Roman"/>
          <w:color w:val="000000"/>
          <w:sz w:val="22"/>
          <w:u w:val="single"/>
        </w:rPr>
        <w:t>Organization; Powers</w:t>
      </w:r>
      <w:r>
        <w:rPr>
          <w:rFonts w:ascii="Times New Roman" w:hAnsi="Times New Roman"/>
          <w:color w:val="000000"/>
          <w:sz w:val="22"/>
        </w:rPr>
        <w:t xml:space="preserve">. Each Loan Party and each Subsidiary is (a) (i) duly organized or incorporated, validly existing and in good standing under the laws of the jurisdiction of its organization or incorporation, (ii) has all requisite organizational power and authority to carry on its business, as now materially conducted and (b) is qualified to do business in, and is in good standing in, every jurisdiction where such qualification is required, except (in the case of clause (a)(ii) and this clause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where the failure to do so, individually or in the aggregate, could not reasonably be expected to result in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8.02</w:t>
      </w:r>
    </w:p>
    <w:p>
      <w:pPr>
        <w:pStyle w:val="TextBody"/>
        <w:bidi w:val="0"/>
        <w:spacing w:before="0" w:after="240"/>
        <w:jc w:val="both"/>
        <w:rPr/>
      </w:pPr>
      <w:r>
        <w:rPr>
          <w:rFonts w:ascii="Times New Roman" w:hAnsi="Times New Roman"/>
          <w:color w:val="000000"/>
          <w:sz w:val="22"/>
          <w:u w:val="single"/>
        </w:rPr>
        <w:t>Authorization; Enforceability</w:t>
      </w:r>
      <w:r>
        <w:rPr>
          <w:rFonts w:ascii="Times New Roman" w:hAnsi="Times New Roman"/>
          <w:color w:val="000000"/>
          <w:sz w:val="22"/>
        </w:rPr>
        <w:t>. The Transactions are within each Loan Party’s organizational or constitutional powers and have been duly authorized by all necessary organizational and, if required, stockholder or other equity holder action. Each Loan Document to which each Loan Party is a party has been duly executed and delivered by such Loan Party and constitutes a legal, valid and binding obligation of such Loan Party, enforceable in accordance with its terms, except as such enforceability may be limited by (i) applicable bankruptcy, insolvency, reorganization, moratorium or other laws affecting creditors’ rights generally and subject to general principles of equity, regardless of whether considered in a proceeding in equity or at law, and (ii) the effect of foreign Laws, rules and regulations as they relate to pledges of Equity Interests in or Indebtedness owed by Foreign Subsidiaries.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8.03</w:t>
      </w:r>
    </w:p>
    <w:p>
      <w:pPr>
        <w:pStyle w:val="TextBody"/>
        <w:bidi w:val="0"/>
        <w:spacing w:before="0" w:after="240"/>
        <w:jc w:val="both"/>
        <w:rPr/>
      </w:pPr>
      <w:r>
        <w:rPr>
          <w:rFonts w:ascii="Times New Roman" w:hAnsi="Times New Roman"/>
          <w:color w:val="000000"/>
          <w:sz w:val="22"/>
          <w:u w:val="single"/>
        </w:rPr>
        <w:t>Governmental Approvals; No Conflicts</w:t>
      </w:r>
      <w:r>
        <w:rPr>
          <w:rFonts w:ascii="Times New Roman" w:hAnsi="Times New Roman"/>
          <w:color w:val="000000"/>
          <w:sz w:val="22"/>
        </w:rPr>
        <w:t>. The Transactions (i) do not require any consent or approval of, registration or filing with, or any other action by, any Governmental Authority, except such as have been obtained or made and are in full force and effect, except for filings necessary to perfect and release existing Liens created pursuant to the Loan Documents and except as would not reasonably be expected to result in a Material Adverse Effect, (ii) will not violate in any respect any applicable law or regulation or the charter, by-laws or other organizational or constitutional documents of each Loan Party or any Subsidiaries or any order of any Governmental Authority except, in each case, as would not reasonably be expected to result in a Material Adverse Effect, (iii) will not violate or result in a default under any indenture, agreement or other instrument in respect to Material Indebtedness binding upon each Loan Party or any Subsidiary or its assets, or give rise to a right thereunder to require any payment to be made by each Loan Party or any Subsidiary except as would not reasonably be expected to result in a Material Adverse Effect, and (iv) will not result in the creation or imposition of any Lien on any asset of any Loan Party or any Subsidiary (other than Liens created pursuant to or otherwise permitted under the Loan Documents).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8.04</w:t>
      </w:r>
    </w:p>
    <w:p>
      <w:pPr>
        <w:pStyle w:val="TextBody"/>
        <w:bidi w:val="0"/>
        <w:spacing w:before="0" w:after="240"/>
        <w:jc w:val="both"/>
        <w:rPr/>
      </w:pPr>
      <w:r>
        <w:rPr>
          <w:rFonts w:ascii="Times New Roman" w:hAnsi="Times New Roman"/>
          <w:color w:val="000000"/>
          <w:sz w:val="22"/>
          <w:u w:val="single"/>
        </w:rPr>
        <w:t>Financial Condition; No Material Adverse Change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Borrower has heretofore furnished to the Lenders its (i) audited consolidated and balance sheet and statements of income, stockholders equity and cash flows of the Borrower and its Subsidiaries as of and for the fiscal years ended December 31, 2023 and December 31, 2024, reported on by its independent public accountants and (ii) unaudited consolidated balance sheet and related statements of operations, stockholders’ equity and cash flow as of the end of and for the fiscal quarter ended March 31, 2025 and the then elapsed portion of the fiscal year. Other than as described on </w:t>
      </w:r>
      <w:r>
        <w:rPr>
          <w:rFonts w:ascii="Times New Roman" w:hAnsi="Times New Roman"/>
          <w:color w:val="000000"/>
          <w:sz w:val="22"/>
          <w:u w:val="single"/>
        </w:rPr>
        <w:t>Schedule 3.04</w:t>
      </w:r>
      <w:r>
        <w:rPr>
          <w:rFonts w:ascii="Times New Roman" w:hAnsi="Times New Roman"/>
          <w:color w:val="000000"/>
          <w:sz w:val="22"/>
        </w:rPr>
        <w:t>, all such financial statements are prepared in accordance in all material respects with GAAP, subject to normal year-end audit adjustments and to any other adjustments described therein (including the notes thereto, if any) and present fairly, in all material respects, the financial position of the Borrower and its Subsidiaries as of such dates and the results of the operations and cash flows of the Borrower and its Subsidiaries for such periods.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Since December 31, 2024, there has been no event, development or circumstance that, individually or in the aggregate, has had or would reasonably be expected to have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8.05</w:t>
      </w:r>
    </w:p>
    <w:p>
      <w:pPr>
        <w:pStyle w:val="TextBody"/>
        <w:bidi w:val="0"/>
        <w:spacing w:before="0" w:after="240"/>
        <w:jc w:val="both"/>
        <w:rPr/>
      </w:pPr>
      <w:r>
        <w:rPr>
          <w:rFonts w:ascii="Times New Roman" w:hAnsi="Times New Roman"/>
          <w:color w:val="000000"/>
          <w:sz w:val="22"/>
          <w:u w:val="single"/>
        </w:rPr>
        <w:t>Properties; Intellectual Property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As of the date of this Agreement, </w:t>
      </w:r>
      <w:r>
        <w:rPr>
          <w:rFonts w:ascii="Times New Roman" w:hAnsi="Times New Roman"/>
          <w:color w:val="000000"/>
          <w:sz w:val="22"/>
          <w:u w:val="single"/>
        </w:rPr>
        <w:t>Schedule 3.05</w:t>
      </w:r>
      <w:r>
        <w:rPr>
          <w:color w:val="000000"/>
        </w:rPr>
        <w:t xml:space="preserve"> </w:t>
      </w:r>
      <w:r>
        <w:rPr>
          <w:rFonts w:ascii="Times New Roman" w:hAnsi="Times New Roman"/>
          <w:color w:val="000000"/>
          <w:sz w:val="22"/>
        </w:rPr>
        <w:t xml:space="preserve">sets forth the address of each parcel of real property that is owned by any Loan Party. Each of the Loan Parties and each Subsidiary has good title to, or valid leasehold interests in, all its real and personal property material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its business, except (x) for defects in title that do not interfere with its ability to conduct its business as conducted from time to time or to utilize such properties for their intended purposes and (y) to the extent encumbered by Liens permitted under the Loan Documents and except as would not reasonably be expected to result in a Material Adverse Effect.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(i) A correct and complete list of all Intellectual Property owned by any Loan Party or any Subsidiary that is registered or applied for with the United States Patent and Trademark Office, the United States Copyright Office, as of the date of this Agreement, is set forth on </w:t>
      </w:r>
      <w:r>
        <w:rPr>
          <w:rFonts w:ascii="Times New Roman" w:hAnsi="Times New Roman"/>
          <w:color w:val="000000"/>
          <w:sz w:val="22"/>
          <w:u w:val="single"/>
        </w:rPr>
        <w:t>Schedule 3.05</w:t>
      </w:r>
      <w:r>
        <w:rPr>
          <w:rFonts w:ascii="Times New Roman" w:hAnsi="Times New Roman"/>
          <w:color w:val="000000"/>
          <w:sz w:val="22"/>
        </w:rPr>
        <w:t>, and (ii) each item is subsisting, unexpired, valid, enforceable and has not been abandoned or cancelled, in each case of (i) and (ii), except as would not reasonably be expected to result in a Material Adverse Effect. Each Loan Party and each Subsidiary owns, or is licensed to use, free and clear of all Liens other than Permitted Liens, all Intellectual Property necessary and material to its business as currently conducted, and (x) to the knowledge of each Loan Party, the operation of their respective business by each Loan Party and each Subsidiary does not infringe upon, misappropriate or violate the rights of any other Person (and no proceeding is pending alleging same), and (y) no Person is infringing, misappropriating or violating the Intellectual Property owned by such Loan Party or such Subsidiary, except for, in each case of (x) and (y), any such infringements, misappropriations or violations that, individually or in the aggregate, could not reasonably be expected to result in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8.06</w:t>
      </w:r>
    </w:p>
    <w:p>
      <w:pPr>
        <w:pStyle w:val="TextBody"/>
        <w:bidi w:val="0"/>
        <w:spacing w:before="0" w:after="240"/>
        <w:jc w:val="both"/>
        <w:rPr/>
      </w:pPr>
      <w:r>
        <w:rPr>
          <w:rFonts w:ascii="Times New Roman" w:hAnsi="Times New Roman"/>
          <w:color w:val="000000"/>
          <w:sz w:val="22"/>
          <w:u w:val="single"/>
        </w:rPr>
        <w:t>Litigation and Environmental Matters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There are no actions, suits, proceedings by or before any arbitrator or Governmental Authority pending against or, to the knowledge of any Loan Party, threatened in writing against any Loan Party or any Subsidiary (i) as to which there is a reasonable possibility of an adverse determination and that, if adversely determined, would reasonably be expected, individually or in the aggregate, to result in a Material Adverse Effect other than as set forth on </w:t>
      </w:r>
      <w:r>
        <w:rPr>
          <w:rFonts w:ascii="Times New Roman" w:hAnsi="Times New Roman"/>
          <w:color w:val="000000"/>
          <w:sz w:val="22"/>
          <w:u w:val="single"/>
        </w:rPr>
        <w:t>Schedule 3.06</w:t>
      </w:r>
      <w:r>
        <w:rPr>
          <w:color w:val="000000"/>
        </w:rPr>
        <w:t xml:space="preserve"> </w:t>
      </w:r>
      <w:r>
        <w:rPr>
          <w:rFonts w:ascii="Times New Roman" w:hAnsi="Times New Roman"/>
          <w:color w:val="000000"/>
          <w:sz w:val="22"/>
        </w:rPr>
        <w:t>or (ii) that involve any Loan Document or the Transactions.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Loan Party nor any of its Subsidiaries has received written notice of any claim with respect to any Environmental Liability or knows of any basis for any such Environmental Liability, in each case, except as would not reasonably be expected to result in a Material Adverse Effect and (ii) except with respect to any other matters that, individually or in the aggregate, would not reasonably be expected to result in a Material Adverse Effect, no Loan Party nor any of its Subsidiaries (1) has failed to comply with any Environmental Law or to obtain, maintain or comply with any permit, license or other approval required under any Environmental Law or (2) has become subject to any Environmental Liability.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8.07</w:t>
      </w:r>
    </w:p>
    <w:p>
      <w:pPr>
        <w:pStyle w:val="TextBody"/>
        <w:bidi w:val="0"/>
        <w:spacing w:before="0" w:after="240"/>
        <w:jc w:val="both"/>
        <w:rPr/>
      </w:pPr>
      <w:r>
        <w:rPr>
          <w:rFonts w:ascii="Times New Roman" w:hAnsi="Times New Roman"/>
          <w:color w:val="000000"/>
          <w:sz w:val="22"/>
          <w:u w:val="single"/>
        </w:rPr>
        <w:t>Compliance with Laws and Agreements</w:t>
      </w:r>
      <w:r>
        <w:rPr>
          <w:rFonts w:ascii="Times New Roman" w:hAnsi="Times New Roman"/>
          <w:color w:val="000000"/>
          <w:sz w:val="22"/>
        </w:rPr>
        <w:t>. Each Loan Party and each Subsidiary is in compliance with all laws, regulations and orders of any Governmental Authority binding on it or its property, except where the failure to do so, individually or in the aggregate, could not reasonably be expected to result in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8.08</w:t>
      </w:r>
    </w:p>
    <w:p>
      <w:pPr>
        <w:pStyle w:val="TextBody"/>
        <w:bidi w:val="0"/>
        <w:spacing w:before="0" w:after="240"/>
        <w:jc w:val="both"/>
        <w:rPr/>
      </w:pPr>
      <w:r>
        <w:rPr>
          <w:rFonts w:ascii="Times New Roman" w:hAnsi="Times New Roman"/>
          <w:color w:val="000000"/>
          <w:sz w:val="22"/>
          <w:u w:val="single"/>
        </w:rPr>
        <w:t>Investment Company Status</w:t>
      </w:r>
      <w:r>
        <w:rPr>
          <w:rFonts w:ascii="Times New Roman" w:hAnsi="Times New Roman"/>
          <w:color w:val="000000"/>
          <w:sz w:val="22"/>
        </w:rPr>
        <w:t>. No Loan Party nor any Subsidiary is an “investment company” as defined in, or subject to regulation under, the Investment Company Act of 1940.</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8.09</w:t>
      </w:r>
    </w:p>
    <w:p>
      <w:pPr>
        <w:pStyle w:val="TextBody"/>
        <w:bidi w:val="0"/>
        <w:spacing w:before="0" w:after="240"/>
        <w:jc w:val="both"/>
        <w:rPr/>
      </w:pPr>
      <w:r>
        <w:rPr>
          <w:rFonts w:ascii="Times New Roman" w:hAnsi="Times New Roman"/>
          <w:color w:val="000000"/>
          <w:sz w:val="22"/>
          <w:u w:val="single"/>
        </w:rPr>
        <w:t>Taxes</w:t>
      </w:r>
      <w:r>
        <w:rPr>
          <w:rFonts w:ascii="Times New Roman" w:hAnsi="Times New Roman"/>
          <w:color w:val="000000"/>
          <w:sz w:val="22"/>
        </w:rPr>
        <w:t xml:space="preserve">. Each Loan Party and each Subsidiary has timely filed or caused to be filed all U.S. federal income and all other Tax returns and reports required to have been filed and has paid or caused to be paid all Taxes (including in its capacity as a withholding agent) required to have been paid by it, except Taxes that are being contested in good faith by appropriate proceedings and for which such Loan Party or such Subsidiary has set aside on its books adequate reserves in accordance with GAAP or where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failure to do so, individually or in the aggregate, could not reasonably be expected to result in a Material Adverse Effect. No investigations are being conducted, and no claim has been made by any Governmental Authority against any Loan Party with respect to Taxes except as would not, individually or in the aggregate, reasonably be expected to result in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8.10</w:t>
      </w:r>
    </w:p>
    <w:p>
      <w:pPr>
        <w:pStyle w:val="TextBody"/>
        <w:bidi w:val="0"/>
        <w:spacing w:before="0" w:after="240"/>
        <w:jc w:val="both"/>
        <w:rPr/>
      </w:pPr>
      <w:r>
        <w:rPr>
          <w:rFonts w:ascii="Times New Roman" w:hAnsi="Times New Roman"/>
          <w:color w:val="000000"/>
          <w:sz w:val="22"/>
          <w:u w:val="single"/>
        </w:rPr>
        <w:t>ERISA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ERISA Event has occurred or is reasonably expected to occur that, when taken together with all other such ERISA Events for which liability is reasonably expected to occur, could reasonably be expected to result in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8.11</w:t>
      </w:r>
    </w:p>
    <w:p>
      <w:pPr>
        <w:pStyle w:val="TextBody"/>
        <w:bidi w:val="0"/>
        <w:spacing w:before="0" w:after="240"/>
        <w:jc w:val="both"/>
        <w:rPr/>
      </w:pPr>
      <w:r>
        <w:rPr>
          <w:rFonts w:ascii="Times New Roman" w:hAnsi="Times New Roman"/>
          <w:color w:val="000000"/>
          <w:sz w:val="22"/>
          <w:u w:val="single"/>
        </w:rPr>
        <w:t>Disclosure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No written information of a factual nature (other than the projections, budgets, estimates, other forward-looking information and information of a general economic or industry specific nature) furnished by or by a representative of the Loan Parties on behalf of the Loan Parties or any Subsidiary pursuant to this Agreement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when taken as a whole, not materially misleading in light of the circumstances under which such statements are made; </w:t>
      </w:r>
      <w:r>
        <w:rPr>
          <w:rFonts w:ascii="Times New Roman" w:hAnsi="Times New Roman"/>
          <w:i/>
          <w:color w:val="000000"/>
          <w:sz w:val="22"/>
        </w:rPr>
        <w:t xml:space="preserve">provided </w:t>
      </w:r>
      <w:r>
        <w:rPr>
          <w:rFonts w:ascii="Times New Roman" w:hAnsi="Times New Roman"/>
          <w:color w:val="000000"/>
          <w:sz w:val="22"/>
        </w:rPr>
        <w:t>that, with respect to any projections, other forward-looking information and information of a general economic or industry specific nature, the Loan Parties represent only that such projections, other forward-looking information were prepared in good faith based upon assumptions believed to be reasonable at the time delivered and, if such projections were delivered prior to the Effective Date, as of the Effective Date, it being recognized by Lenders that any such projections, other forward-looking information and information of a general economic or industry specific nature are subject to significant uncertainties and contingencies, many of which are beyond the Loan Parties’ control, that no assurance can be given that any particular projections will be realized and that actual results may differ and that such differences may be material and are not a guarantee of performance.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the Effective Date, to the best knowledge of the Borrower, the information included in the Beneficial Ownership Certification provided on or prior to the Effective Date to any Lender in connection with this Agreement is true and correct in all material respects.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8.12</w:t>
      </w:r>
    </w:p>
    <w:p>
      <w:pPr>
        <w:pStyle w:val="TextBody"/>
        <w:bidi w:val="0"/>
        <w:spacing w:before="0" w:after="240"/>
        <w:jc w:val="both"/>
        <w:rPr/>
      </w:pPr>
      <w:r>
        <w:rPr>
          <w:rFonts w:ascii="Times New Roman" w:hAnsi="Times New Roman"/>
          <w:color w:val="000000"/>
          <w:sz w:val="22"/>
          <w:u w:val="single"/>
        </w:rPr>
        <w:t>No Default</w:t>
      </w:r>
      <w:r>
        <w:rPr>
          <w:rFonts w:ascii="Times New Roman" w:hAnsi="Times New Roman"/>
          <w:color w:val="000000"/>
          <w:sz w:val="22"/>
        </w:rPr>
        <w:t>. No Default or Event of Default exists or would result from the incurrence by the Borrower or any Subsidiary of any Obligations hereunder or under any other Loan Document.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8.13</w:t>
      </w:r>
    </w:p>
    <w:p>
      <w:pPr>
        <w:pStyle w:val="TextBody"/>
        <w:bidi w:val="0"/>
        <w:spacing w:before="0" w:after="240"/>
        <w:jc w:val="both"/>
        <w:rPr/>
      </w:pPr>
      <w:r>
        <w:rPr>
          <w:rFonts w:ascii="Times New Roman" w:hAnsi="Times New Roman"/>
          <w:color w:val="000000"/>
          <w:sz w:val="22"/>
          <w:u w:val="single"/>
        </w:rPr>
        <w:t>Solvency</w:t>
      </w:r>
      <w:r>
        <w:rPr>
          <w:rFonts w:ascii="Times New Roman" w:hAnsi="Times New Roman"/>
          <w:color w:val="000000"/>
          <w:sz w:val="22"/>
        </w:rPr>
        <w:t>. On the Effective Date, the Loan Parties and their Subsidiaries, on a consolidated basis, are Solvent.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8.14</w:t>
      </w:r>
    </w:p>
    <w:p>
      <w:pPr>
        <w:pStyle w:val="TextBody"/>
        <w:bidi w:val="0"/>
        <w:spacing w:before="0" w:after="240"/>
        <w:jc w:val="both"/>
        <w:rPr/>
      </w:pPr>
      <w:r>
        <w:rPr>
          <w:rFonts w:ascii="Times New Roman" w:hAnsi="Times New Roman"/>
          <w:color w:val="000000"/>
          <w:sz w:val="22"/>
          <w:u w:val="single"/>
        </w:rPr>
        <w:t>Insurance</w:t>
      </w:r>
      <w:r>
        <w:rPr>
          <w:rFonts w:ascii="Times New Roman" w:hAnsi="Times New Roman"/>
          <w:color w:val="000000"/>
          <w:sz w:val="22"/>
        </w:rPr>
        <w:t xml:space="preserve">. </w:t>
      </w:r>
      <w:r>
        <w:rPr>
          <w:rFonts w:ascii="Times New Roman" w:hAnsi="Times New Roman"/>
          <w:color w:val="000000"/>
          <w:sz w:val="22"/>
          <w:u w:val="single"/>
        </w:rPr>
        <w:t>Schedule 3.14</w:t>
      </w:r>
      <w:r>
        <w:rPr>
          <w:color w:val="000000"/>
        </w:rPr>
        <w:t xml:space="preserve"> </w:t>
      </w:r>
      <w:r>
        <w:rPr>
          <w:rFonts w:ascii="Times New Roman" w:hAnsi="Times New Roman"/>
          <w:color w:val="000000"/>
          <w:sz w:val="22"/>
        </w:rPr>
        <w:t>sets forth a description of all insurance maintained by or on behalf of the Loan Parties as of the Effective Date. The Loan Parties believe that the insurance maintained by or on behalf of the Loan Parties and their Subsidiaries is adequate and customary for companies engaged in the same or similar businesses of similar size operating in the same or similar locations.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8.15</w:t>
      </w:r>
    </w:p>
    <w:p>
      <w:pPr>
        <w:pStyle w:val="TextBody"/>
        <w:bidi w:val="0"/>
        <w:spacing w:before="0" w:after="240"/>
        <w:jc w:val="both"/>
        <w:rPr/>
      </w:pPr>
      <w:r>
        <w:rPr>
          <w:rFonts w:ascii="Times New Roman" w:hAnsi="Times New Roman"/>
          <w:color w:val="000000"/>
          <w:sz w:val="22"/>
          <w:u w:val="single"/>
        </w:rPr>
        <w:t>Capitalization and Subsidiaries</w:t>
      </w:r>
      <w:r>
        <w:rPr>
          <w:rFonts w:ascii="Times New Roman" w:hAnsi="Times New Roman"/>
          <w:color w:val="000000"/>
          <w:sz w:val="22"/>
        </w:rPr>
        <w:t xml:space="preserve">. As of the Effective Date, </w:t>
      </w:r>
      <w:r>
        <w:rPr>
          <w:rFonts w:ascii="Times New Roman" w:hAnsi="Times New Roman"/>
          <w:color w:val="000000"/>
          <w:sz w:val="22"/>
          <w:u w:val="single"/>
        </w:rPr>
        <w:t>Schedule 3.15</w:t>
      </w:r>
      <w:r>
        <w:rPr>
          <w:color w:val="000000"/>
        </w:rPr>
        <w:t xml:space="preserve"> </w:t>
      </w:r>
      <w:r>
        <w:rPr>
          <w:rFonts w:ascii="Times New Roman" w:hAnsi="Times New Roman"/>
          <w:color w:val="000000"/>
          <w:sz w:val="22"/>
        </w:rPr>
        <w:t xml:space="preserve">is a complete list of each of the Borrower’s Subsidiaries and such Subsidiary’s jurisdiction of incorporation. All of the issued and outstanding Equity Interests owned by any Loan Party in each of its Subsidiaries have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been (to the extent such concepts are relevant with respect to such ownership interests) duly authorized and issued and are fully paid and non-assessable.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8.16</w:t>
      </w:r>
    </w:p>
    <w:p>
      <w:pPr>
        <w:pStyle w:val="TextBody"/>
        <w:bidi w:val="0"/>
        <w:spacing w:before="0" w:after="240"/>
        <w:jc w:val="both"/>
        <w:rPr/>
      </w:pPr>
      <w:r>
        <w:rPr>
          <w:rFonts w:ascii="Times New Roman" w:hAnsi="Times New Roman"/>
          <w:color w:val="000000"/>
          <w:sz w:val="22"/>
          <w:u w:val="single"/>
        </w:rPr>
        <w:t>Security Interest in Collateral</w:t>
      </w:r>
      <w:r>
        <w:rPr>
          <w:rFonts w:ascii="Times New Roman" w:hAnsi="Times New Roman"/>
          <w:color w:val="000000"/>
          <w:sz w:val="22"/>
        </w:rPr>
        <w:t>. The provisions of (and subject to the terms thereof) this Agreement and the other Loan Documents create legal, valid and enforceable (except as such enforceability may be limited by (i) applicable bankruptcy, insolvency, reorganization, moratorium or other laws affecting creditors’ rights generally and subject to general principles of equity, regardless of whether considered in a proceeding in equity or at law and (ii) the effect of foreign Laws, rules and regulations as they relate to pledges of Equity Interests in or Indebtedness owed by Foreign Subsidiaries) Liens on and security interests in, all the Collateral purported to be secured by the Collateral Documents in favor of the Administrative Agent, for the benefit of the Secured Parties, and (a) when all appropriate filings, notices or recordings are made in appropriate offices, corporate records or with the appropriate Persons as may be required under applicable laws and/or any Collateral Documents, together with payment of all required fees and costs (which filings, notices or recordings shall be made to the extent required by any Collateral Document) and (b) upon the taking of possession or control by the Administrative Agent of such Collateral with respect to which a security interest may be perfected only by possession or control (which possession or control shall be given to the Administrative Agent to the extent required by any Collateral Document), such Liens will constitute perfected and continuing Liens on the Collateral, securing the Secured Obligations and having priority over all other Liens on the Collateral except (i) Permitted Liens, (ii) Liens perfected only by possession (including possession of any certificate of title), but only to the extent the Administrative Agent has not obtained or does not maintain possession of such Collateral and (iii) any Liens not required to be perfected under any of the Loan Documents or by the Administrative Agent.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8.17</w:t>
      </w:r>
    </w:p>
    <w:p>
      <w:pPr>
        <w:pStyle w:val="TextBody"/>
        <w:bidi w:val="0"/>
        <w:spacing w:before="0" w:after="240"/>
        <w:jc w:val="both"/>
        <w:rPr/>
      </w:pPr>
      <w:r>
        <w:rPr>
          <w:rFonts w:ascii="Times New Roman" w:hAnsi="Times New Roman"/>
          <w:color w:val="000000"/>
          <w:sz w:val="22"/>
          <w:u w:val="single"/>
        </w:rPr>
        <w:t>Employment Matters</w:t>
      </w:r>
      <w:r>
        <w:rPr>
          <w:rFonts w:ascii="Times New Roman" w:hAnsi="Times New Roman"/>
          <w:color w:val="000000"/>
          <w:sz w:val="22"/>
        </w:rPr>
        <w:t xml:space="preserve">. As of the Effective Date, there are no strikes, lockouts or slowdowns against any Loan Party or any Subsidiary pending or, to the knowledge of any Loan Party, threatened in writing that could reasonably be expected to result in a Material Adverse Effect. In the past three (3) years, the hours worked by and payments made to employees of the Loan Parties and their Subsidiaries have not been in violation of the Fair Labor Standards Act or any other applicable federal, state, local or foreign law dealing with such matters in a manner resulting in liabilities that could reasonably be expected to result in a Material Adverse Effect.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8.18</w:t>
      </w:r>
    </w:p>
    <w:p>
      <w:pPr>
        <w:pStyle w:val="TextBody"/>
        <w:bidi w:val="0"/>
        <w:spacing w:before="0" w:after="240"/>
        <w:jc w:val="both"/>
        <w:rPr/>
      </w:pPr>
      <w:r>
        <w:rPr>
          <w:rFonts w:ascii="Times New Roman" w:hAnsi="Times New Roman"/>
          <w:color w:val="000000"/>
          <w:sz w:val="22"/>
          <w:u w:val="single"/>
        </w:rPr>
        <w:t>Margin Regulations</w:t>
      </w:r>
      <w:r>
        <w:rPr>
          <w:rFonts w:ascii="Times New Roman" w:hAnsi="Times New Roman"/>
          <w:color w:val="000000"/>
          <w:sz w:val="22"/>
        </w:rPr>
        <w:t>. No Loan Party is engaged and will not engage, principally or as one of its important activities, in the business of purchasing or carrying Margin Stock, or extending credit for the purpose of purchasing or carrying Margin Stock, and no part of the proceeds of any Borrowing and no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8.19</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8.20</w:t>
      </w:r>
    </w:p>
    <w:p>
      <w:pPr>
        <w:pStyle w:val="TextBody"/>
        <w:bidi w:val="0"/>
        <w:spacing w:before="0" w:after="240"/>
        <w:jc w:val="both"/>
        <w:rPr/>
      </w:pPr>
      <w:r>
        <w:rPr>
          <w:rFonts w:ascii="Times New Roman" w:hAnsi="Times New Roman"/>
          <w:color w:val="000000"/>
          <w:sz w:val="22"/>
          <w:u w:val="single"/>
        </w:rPr>
        <w:t>Anti-Corruption and Anti-Terrorism Laws and Sanctions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Loan Party has implemented and maintains in effect or is subject to policies and procedures designed to ensure compliance by such Loan Party, its Subsidiaries and their respective directors, officers, employees and agents with applicable Anti-Corruption Laws, Anti-Money Laundering Laws and Sanctions, and such Loan Party, its Subsidiaries and their respective officers, directors and employees and, to the knowledge of such Loan Party, its agents, are in compliance with applicable Anti-Corruption Laws, Anti-Money Laundering Laws and Sanctions in all material respects. None of (a) any Loan Party or any Subsidiary or any of their respective directors or officers or employees, or (b) to the knowledge of any such Loan Party or Subsidiary or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applicable Anti-Corruption Laws, Anti-Money Laundering Laws or Sanctions.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u w:val="single"/>
        </w:rPr>
        <w:t>Use of Proceeds</w:t>
      </w:r>
      <w:r>
        <w:rPr>
          <w:rFonts w:ascii="Times New Roman" w:hAnsi="Times New Roman"/>
          <w:color w:val="000000"/>
          <w:sz w:val="22"/>
        </w:rPr>
        <w:t>. The proceeds of the Loans will be used only (i) to pay fees, costs and expenses incurred in connection with the Transactions and (ii) for working capital and other general corporate purposes of the Borrower and the Subsidiaries (including the financing of Permitted Acquisitions, capital expenditures, Investments, Restricted Payments and the refinancing of Indebtedness, in each case, not prohibited by the Loan Documents).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8.21</w:t>
      </w:r>
    </w:p>
    <w:p>
      <w:pPr>
        <w:pStyle w:val="TextBody"/>
        <w:bidi w:val="0"/>
        <w:spacing w:before="0" w:after="240"/>
        <w:jc w:val="both"/>
        <w:rPr/>
      </w:pPr>
      <w:r>
        <w:rPr>
          <w:rFonts w:ascii="Times New Roman" w:hAnsi="Times New Roman"/>
          <w:color w:val="000000"/>
          <w:sz w:val="22"/>
          <w:u w:val="single"/>
        </w:rPr>
        <w:t>Federal Reserve Regulations</w:t>
      </w:r>
      <w:r>
        <w:rPr>
          <w:rFonts w:ascii="Times New Roman" w:hAnsi="Times New Roman"/>
          <w:color w:val="000000"/>
          <w:sz w:val="22"/>
        </w:rPr>
        <w:t>. Neither the Borrower nor any Subsidiary is engaged principally, or as one of its important activities, in the business of extending credit for the purpose, whether immediate, incidental or ultimate, of buying or carrying margin stock (as defined in Regulation U of the Board), and no part of the proceeds of any Loan will be used, to buy or carry, or to extend credit to others to buy or carry, any margin stock or for any other purpose that entails a violation of any Regulations of the Board, including Regulations T, U and X.</w:t>
      </w:r>
      <w:r>
        <w:rPr>
          <w:color w:val="000000"/>
          <w:u w:val="single"/>
        </w:rPr>
        <w:t xml:space="preserve"> </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IX</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CONDITIONS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9.01</w:t>
      </w:r>
    </w:p>
    <w:p>
      <w:pPr>
        <w:pStyle w:val="TextBody"/>
        <w:bidi w:val="0"/>
        <w:spacing w:before="0" w:after="240"/>
        <w:jc w:val="both"/>
        <w:rPr/>
      </w:pPr>
      <w:r>
        <w:rPr>
          <w:rFonts w:ascii="Times New Roman" w:hAnsi="Times New Roman"/>
          <w:color w:val="000000"/>
          <w:sz w:val="22"/>
          <w:u w:val="single"/>
        </w:rPr>
        <w:t>Effective Date</w:t>
      </w:r>
      <w:r>
        <w:rPr>
          <w:rFonts w:ascii="Times New Roman" w:hAnsi="Times New Roman"/>
          <w:color w:val="000000"/>
          <w:sz w:val="22"/>
        </w:rPr>
        <w:t xml:space="preserve">. The Agreement shall be effective and valid and binding on each party hereto on the date on which each of the following conditions is satisfied (or waived in accordance with </w:t>
      </w:r>
      <w:r>
        <w:rPr>
          <w:rFonts w:ascii="Times New Roman" w:hAnsi="Times New Roman"/>
          <w:color w:val="000000"/>
          <w:sz w:val="22"/>
          <w:u w:val="single"/>
        </w:rPr>
        <w:t>Section 9.02</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Administrative Agent (or its counsel) shall have received from each party hereto (i) a counterpart of this Agreement signed on behalf of such party (which, subject to </w:t>
      </w:r>
      <w:r>
        <w:rPr>
          <w:rFonts w:ascii="Times New Roman" w:hAnsi="Times New Roman"/>
          <w:color w:val="000000"/>
          <w:sz w:val="22"/>
          <w:u w:val="single"/>
        </w:rPr>
        <w:t>Section 9.06(b)(x)</w:t>
      </w:r>
      <w:r>
        <w:rPr>
          <w:rFonts w:ascii="Times New Roman" w:hAnsi="Times New Roman"/>
          <w:color w:val="000000"/>
          <w:sz w:val="22"/>
        </w:rPr>
        <w:t>, may include any Electronic Signatures transmitted by email pdf. or any other electronic means that reproduces an image of an actual executed signature page) and (ii) duly executed copies of the other Loan Documents.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(or its counsel) shall have received: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 xml:space="preserve">subject to </w:t>
      </w:r>
      <w:r>
        <w:rPr>
          <w:rFonts w:ascii="Times New Roman" w:hAnsi="Times New Roman"/>
          <w:color w:val="000000"/>
          <w:sz w:val="22"/>
          <w:u w:val="single"/>
        </w:rPr>
        <w:t>Section 5.13</w:t>
      </w:r>
      <w:r>
        <w:rPr>
          <w:rFonts w:ascii="Times New Roman" w:hAnsi="Times New Roman"/>
          <w:color w:val="000000"/>
          <w:sz w:val="22"/>
        </w:rPr>
        <w:t xml:space="preserve">, from the Loan Parties executed counterparts of the Collateral Documents set forth on </w:t>
      </w:r>
      <w:r>
        <w:rPr>
          <w:rFonts w:ascii="Times New Roman" w:hAnsi="Times New Roman"/>
          <w:color w:val="000000"/>
          <w:sz w:val="22"/>
          <w:u w:val="single"/>
        </w:rPr>
        <w:t>Schedule 4.01(b)</w:t>
      </w:r>
      <w:r>
        <w:rPr>
          <w:color w:val="000000"/>
        </w:rPr>
        <w:t xml:space="preserve"> </w:t>
      </w:r>
      <w:r>
        <w:rPr>
          <w:rFonts w:ascii="Times New Roman" w:hAnsi="Times New Roman"/>
          <w:color w:val="000000"/>
          <w:sz w:val="22"/>
        </w:rPr>
        <w:t>to be entered into on and as of the Effective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each Loan Party, UCC-1 financing statements in a form appropriate for filing in the state of organization of such Loan Party;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subject to </w:t>
      </w:r>
      <w:r>
        <w:rPr>
          <w:rFonts w:ascii="Times New Roman" w:hAnsi="Times New Roman"/>
          <w:color w:val="000000"/>
          <w:sz w:val="22"/>
          <w:u w:val="single"/>
        </w:rPr>
        <w:t>Section 5.13</w:t>
      </w:r>
      <w:r>
        <w:rPr>
          <w:rFonts w:ascii="Times New Roman" w:hAnsi="Times New Roman"/>
          <w:color w:val="000000"/>
          <w:sz w:val="22"/>
        </w:rPr>
        <w:t>, delivery of original stock or share certificates for certificated Equity Interests of each Subsidiary that constitutes Collateral, together with appropriate duly executed instruments of transfer endorsed in blank;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promissory notes evidencing the Collateral accompanied by instruments of transfer endorsed in blank;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pPr>
      <w:r>
        <w:rPr>
          <w:rFonts w:ascii="Times New Roman" w:hAnsi="Times New Roman"/>
          <w:color w:val="000000"/>
          <w:sz w:val="22"/>
        </w:rPr>
        <w:t xml:space="preserve">insurance certificates satisfying the requirements of </w:t>
      </w:r>
      <w:r>
        <w:rPr>
          <w:rFonts w:ascii="Times New Roman" w:hAnsi="Times New Roman"/>
          <w:color w:val="000000"/>
          <w:sz w:val="22"/>
          <w:u w:val="single"/>
        </w:rPr>
        <w:t>Section 5.09</w:t>
      </w:r>
      <w:r>
        <w:rPr>
          <w:rFonts w:ascii="Times New Roman" w:hAnsi="Times New Roman"/>
          <w:color w:val="000000"/>
          <w:sz w:val="22"/>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have received a favorable written opinion (addressed to the Administrative Agent and the Lenders and dated the Effective Date) of Kirkland &amp; Ellis LLP, counsel for the Loan Parties, and covering such other matters relating to the Loan Parties, this Agreement, the other Loan Documents, or the Transactions as the Administrative Agent shall reasonably request. The Borrower hereby requests such counsel to deliver such opinion.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have received: (i) a copy of each organizational or constitutional document of each Loan Party and, to the extent applicable, certified as of a recent date by the appropriate governmental official; (ii) incumbency certificates of the officers of the Loan Parties executing the Loan Documents to which it is a party as of the Effective Date; (iii) resolutions of the board of directors (or, if applicable, shareholders) or similar governing body of each Loan Party approving and authorizing the execution, delivery and performance of this Agreement and the other Loan Documents to which such Loan Party is a party as of the Effective Date and certified as of the Effective Date by such Loan Party as being in full force and effect without modification or amendment; and (iv) a good standing certificate (to the extent such concept is known in the relevant jurisdiction) from the applicable Governmental Authority of each Loan Party’s respective jurisdiction of incorporation, organization or formation dated as of a recent date prior to the Effective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IPO shall have been consummated and the IPO Proceeds Condition shall have been satisfied.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The results of a recent lien search in the jurisdiction of organization of each Loan Party and its respective Subsidiaries, tax and judgement lien searches at the jurisdiction of the chief executive office and the results of search reports in respect of the registered and applied-for Intellectual Property of each Loan Party and its Subsidiaries, and such search shall not reveal any Liens on any of the assets of such Loan Parties and its Subsidiaries except for Liens permitted by </w:t>
      </w:r>
      <w:r>
        <w:rPr>
          <w:rFonts w:ascii="Times New Roman" w:hAnsi="Times New Roman"/>
          <w:color w:val="000000"/>
          <w:sz w:val="22"/>
          <w:u w:val="single"/>
        </w:rPr>
        <w:t>Section 6.02</w:t>
      </w:r>
      <w:r>
        <w:rPr>
          <w:color w:val="000000"/>
        </w:rPr>
        <w:t xml:space="preserve"> </w:t>
      </w:r>
      <w:r>
        <w:rPr>
          <w:rFonts w:ascii="Times New Roman" w:hAnsi="Times New Roman"/>
          <w:color w:val="000000"/>
          <w:sz w:val="22"/>
        </w:rPr>
        <w:t>or discharged on or prior to the Effective Date pursuant to a pay-off letter or other documentation reasonably satisfactory to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have received a Solvency Certificate.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pPr>
      <w:r>
        <w:rPr>
          <w:rFonts w:ascii="Times New Roman" w:hAnsi="Times New Roman"/>
          <w:color w:val="000000"/>
          <w:sz w:val="22"/>
        </w:rPr>
        <w:t>(A) The Administrative Agent shall have received at least three (3) days prior to the Effective Date, all documentation and other information with respect to the Borrower and the Guarantors required under applicable “know your customer” and anti-money laundering rules and regulations, including the USA Patriot Act, to the extent shall have reasonably requested in writing of the Borrower at least ten (10) days prior to the Effective Date and (B) to the extent the Borrower qualifies as a “legal entity customer” under the Beneficial Ownership Regulation, at least three (3) days prior to the Effective Date, any Lender that has requested, in a written notice to the Borrower at least ten (10) days prior to the Effective Date, a Beneficial Ownership Certification in relation to the Borrower shall have received such Beneficial Ownership Certification (</w:t>
      </w:r>
      <w:r>
        <w:rPr>
          <w:rFonts w:ascii="Times New Roman" w:hAnsi="Times New Roman"/>
          <w:i/>
          <w:color w:val="000000"/>
          <w:sz w:val="22"/>
        </w:rPr>
        <w:t xml:space="preserve">provided </w:t>
      </w:r>
      <w:r>
        <w:rPr>
          <w:rFonts w:ascii="Times New Roman" w:hAnsi="Times New Roman"/>
          <w:color w:val="000000"/>
          <w:sz w:val="22"/>
        </w:rPr>
        <w:t>that, upon the execution and delivery by such Lender of its signature page to this Agreement, the condition set forth in this clause (B) shall be deemed to be satisfied).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representations and warranties of the Borrower and each Loan Party set forth in this Agreement shall be true and correct in all material respects (except that such materiality qualifier shall not be applicable to any representation or warranty to the extent that it is already qualified or modified by materiality in the text thereof) on and as of such date (except to the extent any such representation or warranty expressly relates to an earlier date, in which case, such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representation or warranty shall be true and correct in all materials respects (or all respects, as applicable) as of such earlier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Default or Event of Default hereunder shall have occurred and be continuing.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Since December 31, 2024, no Material Adverse Effect shall have occurred or exist.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w:t>
      </w:r>
    </w:p>
    <w:p>
      <w:pPr>
        <w:pStyle w:val="TextBody"/>
        <w:bidi w:val="0"/>
        <w:spacing w:before="0" w:after="240"/>
        <w:jc w:val="both"/>
        <w:rPr/>
      </w:pPr>
      <w:r>
        <w:rPr>
          <w:rFonts w:ascii="Times New Roman" w:hAnsi="Times New Roman"/>
          <w:color w:val="000000"/>
          <w:sz w:val="22"/>
        </w:rPr>
        <w:t xml:space="preserve">The Administrative Agent shall have received a certificate of a Responsible Officer of the Borrower certifying that each of the conditions specified in paragraphs (i), (j) and (k) of this </w:t>
      </w:r>
      <w:r>
        <w:rPr>
          <w:rFonts w:ascii="Times New Roman" w:hAnsi="Times New Roman"/>
          <w:color w:val="000000"/>
          <w:sz w:val="22"/>
          <w:u w:val="single"/>
        </w:rPr>
        <w:t>Section 4.01</w:t>
      </w:r>
      <w:r>
        <w:rPr>
          <w:color w:val="000000"/>
        </w:rPr>
        <w:t xml:space="preserve"> </w:t>
      </w:r>
      <w:r>
        <w:rPr>
          <w:rFonts w:ascii="Times New Roman" w:hAnsi="Times New Roman"/>
          <w:color w:val="000000"/>
          <w:sz w:val="22"/>
        </w:rPr>
        <w:t>has been satisfied.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w:t>
      </w:r>
    </w:p>
    <w:p>
      <w:pPr>
        <w:pStyle w:val="TextBody"/>
        <w:bidi w:val="0"/>
        <w:spacing w:before="0" w:after="240"/>
        <w:jc w:val="both"/>
        <w:rPr/>
      </w:pPr>
      <w:r>
        <w:rPr>
          <w:rFonts w:ascii="Times New Roman" w:hAnsi="Times New Roman"/>
          <w:color w:val="000000"/>
          <w:sz w:val="22"/>
        </w:rPr>
        <w:t xml:space="preserve">The Administrative Agent shall have received (i) the financial statements referred to in </w:t>
      </w:r>
      <w:r>
        <w:rPr>
          <w:rFonts w:ascii="Times New Roman" w:hAnsi="Times New Roman"/>
          <w:color w:val="000000"/>
          <w:sz w:val="22"/>
          <w:u w:val="single"/>
        </w:rPr>
        <w:t>Section 3.04</w:t>
      </w:r>
      <w:r>
        <w:rPr>
          <w:color w:val="000000"/>
        </w:rPr>
        <w:t xml:space="preserve"> </w:t>
      </w:r>
      <w:r>
        <w:rPr>
          <w:rFonts w:ascii="Times New Roman" w:hAnsi="Times New Roman"/>
          <w:color w:val="000000"/>
          <w:sz w:val="22"/>
        </w:rPr>
        <w:t>and (ii) reasonably detailed financial projections of the Borrower and its Subsidiaries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w:t>
      </w:r>
    </w:p>
    <w:p>
      <w:pPr>
        <w:pStyle w:val="TextBody"/>
        <w:bidi w:val="0"/>
        <w:spacing w:before="0" w:after="240"/>
        <w:jc w:val="both"/>
        <w:rPr/>
      </w:pPr>
      <w:r>
        <w:rPr>
          <w:rFonts w:ascii="Times New Roman" w:hAnsi="Times New Roman"/>
          <w:color w:val="000000"/>
          <w:sz w:val="22"/>
        </w:rPr>
        <w:t xml:space="preserve">The Administrative Agent shall have received all fees earned, due and payable hereunder or under the Fee Letters and to the extent invoiced at least one (1) Business Day prior to the Effective Date, shall have been reimbursed, subject to </w:t>
      </w:r>
      <w:r>
        <w:rPr>
          <w:rFonts w:ascii="Times New Roman" w:hAnsi="Times New Roman"/>
          <w:color w:val="000000"/>
          <w:sz w:val="22"/>
          <w:u w:val="single"/>
        </w:rPr>
        <w:t>Section 9.03</w:t>
      </w:r>
      <w:r>
        <w:rPr>
          <w:rFonts w:ascii="Times New Roman" w:hAnsi="Times New Roman"/>
          <w:color w:val="000000"/>
          <w:sz w:val="22"/>
        </w:rPr>
        <w:t>(a), for all reasonable and documented out of pocket expenses (including reasonable legal fees and expenses of Cahill Gordon &amp; Reindel LLP) required to be reimbursed or paid by the Borrower hereunder.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document (including any Uniform Commercial Code financing statement or federal Intellectual Property security interest filings) required by the Collateral Documents or under law to be filed, registered or recorded in order to create in favor of the Administrative Agent, for the benefit of the Secured Parties, a perfected (if and to the extent required to be perfected under the Loan Documents) Lien on the Collateral described therein, shall be in proper form for filing, registration or recordation.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Existing Debt Repayment shall have been, or, substantially concurrently with the occurrence of the Effective Date, shall be, consummated.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Effective Date specifying its objection thereto.</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9.02</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[Intentionally Omitted].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9.03</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 xml:space="preserve">[Intentionally Omitted].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9.04</w:t>
      </w:r>
    </w:p>
    <w:p>
      <w:pPr>
        <w:pStyle w:val="TextBody"/>
        <w:bidi w:val="0"/>
        <w:spacing w:before="0" w:after="240"/>
        <w:jc w:val="both"/>
        <w:rPr/>
      </w:pPr>
      <w:r>
        <w:rPr>
          <w:rFonts w:ascii="Times New Roman" w:hAnsi="Times New Roman"/>
          <w:color w:val="000000"/>
          <w:sz w:val="22"/>
          <w:u w:val="single"/>
        </w:rPr>
        <w:t>Each Credit Event</w:t>
      </w:r>
      <w:r>
        <w:rPr>
          <w:rFonts w:ascii="Times New Roman" w:hAnsi="Times New Roman"/>
          <w:color w:val="000000"/>
          <w:sz w:val="22"/>
        </w:rPr>
        <w:t>. The obligation of each Lender to make a Loan on the occasion of any Borrowing and of the Issuing Bank to issue, amend or extend any Letter of Credit, in each case, is subject to the satisfaction of each of the following conditions: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representations and warranties of the Borrower and each Loan Party set forth in this Agreement or the other Loan Documents shall be true and correct in all material respects (except that such materiality qualifier shall not be applicable to any representation or warranty to the extent that it is already qualified or modified by materiality in the text thereof) on and as of the date of such Borrowing or the date of issuance, amendment or extension of such Letter of Credit, as applicable (except to the extent any such representation or warranty expressly relates to an earlier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in which case, such representation or warranty shall be true and correct in all material respects (or all respects, as applicable) as of such earlier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the time of and immediately after giving effect to such Borrowing or the issuance, amendment or extension of such Letter of Credit, as applicable, no Default or Event of Default shall have occurred and be continuing.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The Administrative Agent shall have received a Borrowing Request meeting the requirements of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Borrowing (</w:t>
      </w:r>
      <w:r>
        <w:rPr>
          <w:rFonts w:ascii="Times New Roman" w:hAnsi="Times New Roman"/>
          <w:i/>
          <w:color w:val="000000"/>
          <w:sz w:val="22"/>
        </w:rPr>
        <w:t xml:space="preserve">provided </w:t>
      </w:r>
      <w:r>
        <w:rPr>
          <w:rFonts w:ascii="Times New Roman" w:hAnsi="Times New Roman"/>
          <w:color w:val="000000"/>
          <w:sz w:val="22"/>
        </w:rPr>
        <w:t xml:space="preserve">that a conversion or a continuation of a Borrowing shall not constitute a “Borrowing” for purposes of this </w:t>
      </w:r>
      <w:r>
        <w:rPr>
          <w:rFonts w:ascii="Times New Roman" w:hAnsi="Times New Roman"/>
          <w:color w:val="000000"/>
          <w:sz w:val="22"/>
          <w:u w:val="single"/>
        </w:rPr>
        <w:t>Section 4.04</w:t>
      </w:r>
      <w:r>
        <w:rPr>
          <w:rFonts w:ascii="Times New Roman" w:hAnsi="Times New Roman"/>
          <w:color w:val="000000"/>
          <w:sz w:val="22"/>
        </w:rPr>
        <w:t xml:space="preserve">) (in the case of any Incremental Loan, subject to </w:t>
      </w:r>
      <w:r>
        <w:rPr>
          <w:rFonts w:ascii="Times New Roman" w:hAnsi="Times New Roman"/>
          <w:color w:val="000000"/>
          <w:sz w:val="22"/>
          <w:u w:val="single"/>
        </w:rPr>
        <w:t>Section 2.22(b)</w:t>
      </w:r>
      <w:r>
        <w:rPr>
          <w:rFonts w:ascii="Times New Roman" w:hAnsi="Times New Roman"/>
          <w:color w:val="000000"/>
          <w:sz w:val="20"/>
        </w:rPr>
        <w:t xml:space="preserve"> </w:t>
      </w:r>
      <w:r>
        <w:rPr>
          <w:rFonts w:ascii="Times New Roman" w:hAnsi="Times New Roman"/>
          <w:color w:val="000000"/>
          <w:sz w:val="22"/>
        </w:rPr>
        <w:t xml:space="preserve">and, in the case of any Borrowing to finance a Limited Condition Transaction, subject to </w:t>
      </w:r>
      <w:r>
        <w:rPr>
          <w:rFonts w:ascii="Times New Roman" w:hAnsi="Times New Roman"/>
          <w:color w:val="000000"/>
          <w:sz w:val="22"/>
          <w:u w:val="single"/>
        </w:rPr>
        <w:t>Section 1.14(g)</w:t>
      </w:r>
      <w:r>
        <w:rPr>
          <w:rFonts w:ascii="Times New Roman" w:hAnsi="Times New Roman"/>
          <w:color w:val="000000"/>
          <w:sz w:val="22"/>
        </w:rPr>
        <w:t xml:space="preserve">) and each issuance, amendment or extension of a Letter of Credit shall be deemed to constitute a representation and warranty by the Borrower on the date thereof as to the matters specified in paragraphs (a) and (b) of this </w:t>
      </w:r>
      <w:r>
        <w:rPr>
          <w:rFonts w:ascii="Times New Roman" w:hAnsi="Times New Roman"/>
          <w:color w:val="000000"/>
          <w:sz w:val="22"/>
          <w:u w:val="single"/>
        </w:rPr>
        <w:t>Section 4.04</w:t>
      </w:r>
      <w:r>
        <w:rPr>
          <w:rFonts w:ascii="Times New Roman" w:hAnsi="Times New Roman"/>
          <w:color w:val="000000"/>
          <w:sz w:val="22"/>
        </w:rPr>
        <w:t>.</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X</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AFFIRMATIVE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Until the Commitments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(or cash collateralized in accordance with the terms herein), the Borrower covenants and agrees with the Lenders that: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10.01</w:t>
      </w:r>
    </w:p>
    <w:p>
      <w:pPr>
        <w:pStyle w:val="TextBody"/>
        <w:bidi w:val="0"/>
        <w:spacing w:before="0" w:after="240"/>
        <w:jc w:val="both"/>
        <w:rPr/>
      </w:pPr>
      <w:r>
        <w:rPr>
          <w:rFonts w:ascii="Times New Roman" w:hAnsi="Times New Roman"/>
          <w:color w:val="000000"/>
          <w:sz w:val="22"/>
          <w:u w:val="single"/>
        </w:rPr>
        <w:t>Financial Statements and Other Information</w:t>
      </w:r>
      <w:r>
        <w:rPr>
          <w:rFonts w:ascii="Times New Roman" w:hAnsi="Times New Roman"/>
          <w:color w:val="000000"/>
          <w:sz w:val="22"/>
        </w:rPr>
        <w:t>. The Borrower will furnish to the Administrative Agent (for prompt distribution to the Lenders):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one hundred twenty (120) days after the end of each fiscal year of the Borrower (or, if earlier, the date that is five (5) Business Days after the reporting date for such information required by the SEC, including after giving effect to any extension pursuant to any securities law, including pursuant to Rule 12b-25 of the Securities Exchange Act of 1934), commencing with the fiscal year ending December 31, 2025,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or regional standing or any other accounting firm reasonably acceptable to the Administrative Agent (without a “going concern” or like qualification or exception and without any qualification or exception as to the scope of such audit other than a qualification resulting from (i) an upcoming maturity date occurring within one year from the time such opinion is delivered, (ii) a prospective or actual default in respect of any financial maintenance covenant in any agreement governing Indebtedness of the Borrower or any subsidiary, or (iii) any “emphasis of matter” paragraph) to the effect that such consolidated financial statements present fairly in all material respects the financial condition and results of operations of the Borrower and its consolidated Subsidiaries on a consolidated basis in accordance in all material respects with GAAP consistently applied, subject to normal year-end audit adjustments and the absence of footnotes;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within sixty (60) days after the end of each of the first three fiscal quarters of each fiscal year of the Borrower (or, if earlier, the date that is five (5) Business Days after the reporting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for such information required by the SEC, including after giving effect to any extension pursuant to any securities law, including pursuant to Rule 12b-25 of the Securities Exchange Act of 1934), commencing with the fiscal quarter ending September 30, 2025, its consolidated balance sheet, stockholders’ equity and related statements of operations and cash flows as of the end of and for such fiscal quarter and the then elapsed portion of such fiscal year, setting forth in each case in comparative form the figures as of the end of and for the corresponding period or periods of the previous fiscal year, all certified by a Responsible Officer as presenting fairly in all material respects the financial condition and results of operations of the Borrower and its consolidated Subsidiaries on a consolidated basis in accordance in all material respects with GAAP consistently applied, subject to normal year-end audit adjustments and the absence of footnotes;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within five (5) Business Days of any delivery of financial statements under clause (a) or (b) above, a Compliance Certificate of a Responsible Officer of the Borrower (i) certifying as to whether a Default has occurred and is continuing and, if a Default has occurred and is continuing, specifying the details thereof and any action taken or proposed to be taken with respect thereto</w:t>
      </w:r>
      <w:r>
        <w:rPr>
          <w:rFonts w:ascii="Times New Roman" w:hAnsi="Times New Roman"/>
          <w:color w:val="0000FF"/>
          <w:sz w:val="22"/>
          <w:u w:val="single"/>
        </w:rPr>
        <w:t>,</w:t>
      </w:r>
      <w:r>
        <w:rPr>
          <w:color w:val="000000"/>
        </w:rPr>
        <w:t xml:space="preserve"> </w:t>
      </w:r>
      <w:r>
        <w:rPr>
          <w:rFonts w:ascii="Times New Roman" w:hAnsi="Times New Roman"/>
          <w:color w:val="000000"/>
          <w:sz w:val="22"/>
        </w:rPr>
        <w:t xml:space="preserve">and (ii) setting forth reasonably detailed calculations demonstrating compliance with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for the avoidance of doubt, any Compliance Certificate delivered for the fourth fiscal quarter of any fiscal year shall be for informational purposes only;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FF"/>
          <w:sz w:val="22"/>
          <w:u w:val="single"/>
        </w:rPr>
        <w:t xml:space="preserve">within thirty (30) days after the end of each month, commencing on April 30, 2026 until the first full month following the occurrence of </w:t>
      </w:r>
      <w:r>
        <w:rPr>
          <w:rFonts w:ascii="Times New Roman" w:hAnsi="Times New Roman"/>
          <w:color w:val="008000"/>
          <w:sz w:val="22"/>
          <w:u w:val="single"/>
        </w:rPr>
        <w:t>a Leverage Covenant Triggering Event</w:t>
      </w:r>
      <w:r>
        <w:rPr>
          <w:rFonts w:ascii="Times New Roman" w:hAnsi="Times New Roman"/>
          <w:color w:val="0000FF"/>
          <w:sz w:val="22"/>
          <w:u w:val="single"/>
        </w:rPr>
        <w:t>, a Liquidity Compliance Certificate of a Responsible Officer of the Borrower, attaching internally prepared consolidated balance sheet and the related statements of operations and cash flows for such month and for the period beginning with the first day of such fiscal year and ending on the last day of such month, all in reasonable detail demonstrating compliance with Section 6.10(a);</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FF"/>
          <w:sz w:val="22"/>
          <w:u w:val="single"/>
        </w:rPr>
      </w:pPr>
      <w:r>
        <w:rPr>
          <w:rFonts w:ascii="Times New Roman" w:hAnsi="Times New Roman"/>
          <w:color w:val="0000FF"/>
          <w:sz w:val="22"/>
          <w:u w:val="single"/>
        </w:rPr>
        <w:t>within fifteen (15) Business Days of any delivery of financial statements under clause (a) or (b) above, a reasonably detailed contract backlog report of the Borrower and its Subsidiaries, to the extent such information has become publicly available;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strike/>
          <w:color w:val="FF0000"/>
          <w:sz w:val="22"/>
        </w:rPr>
        <w:t xml:space="preserve">(d) </w:t>
      </w:r>
      <w:r>
        <w:rPr>
          <w:rFonts w:ascii="Times New Roman" w:hAnsi="Times New Roman"/>
          <w:color w:val="000000"/>
          <w:sz w:val="22"/>
        </w:rPr>
        <w:t xml:space="preserve">promptly after the same are available to the public, copies of management’s discussion and analysis of the financial position and financial performance in relationship to the financial statements delivered pursuant to </w:t>
      </w:r>
      <w:r>
        <w:rPr>
          <w:rFonts w:ascii="Times New Roman" w:hAnsi="Times New Roman"/>
          <w:color w:val="000000"/>
          <w:sz w:val="22"/>
          <w:u w:val="single"/>
        </w:rPr>
        <w:t>Section 5.01(a)</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rFonts w:ascii="Times New Roman" w:hAnsi="Times New Roman"/>
          <w:color w:val="0000FF"/>
          <w:sz w:val="22"/>
          <w:u w:val="single"/>
        </w:rPr>
      </w:pPr>
      <w:r>
        <w:rPr>
          <w:rFonts w:ascii="Times New Roman" w:hAnsi="Times New Roman"/>
          <w:color w:val="0000FF"/>
          <w:sz w:val="22"/>
          <w:u w:val="single"/>
        </w:rPr>
        <w:t>within ten (10) Business Days following approval of the annual operating plan by the Borrower’s board of directors, a reasonably detailed launch schedule, covering the same period as in such annual operating plan;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pPr>
      <w:r>
        <w:rPr>
          <w:rFonts w:ascii="Times New Roman" w:hAnsi="Times New Roman"/>
          <w:strike/>
          <w:color w:val="FF0000"/>
          <w:sz w:val="22"/>
        </w:rPr>
        <w:t xml:space="preserve">(e) </w:t>
      </w:r>
      <w:r>
        <w:rPr>
          <w:rFonts w:ascii="Times New Roman" w:hAnsi="Times New Roman"/>
          <w:color w:val="000000"/>
          <w:sz w:val="22"/>
        </w:rPr>
        <w:t xml:space="preserve">promptly following any request therefor, such other information regarding the operations, business affairs and financial condition of the Borrower or any Subsidiary or compliance with the terms of any Loan Document, as the Administrative Agent (or any Lender through the Administrative Agent) may reasonably request and to the extent reasonably available to the Borrower; </w:t>
      </w:r>
      <w:r>
        <w:rPr>
          <w:rFonts w:ascii="Times New Roman" w:hAnsi="Times New Roman"/>
          <w:i/>
          <w:color w:val="000000"/>
          <w:sz w:val="22"/>
        </w:rPr>
        <w:t>provided</w:t>
      </w:r>
      <w:r>
        <w:rPr>
          <w:rFonts w:ascii="Times New Roman" w:hAnsi="Times New Roman"/>
          <w:color w:val="000000"/>
          <w:sz w:val="22"/>
        </w:rPr>
        <w:t>, none of the Borrower or any Subsidiary will be required to disclose or deliver information (i) in respect of which disclosure to the Administrative Agent or any Lender (or their respective representatives or contractors) is prohibited by any law or regulation, any fiduciary duty or by any binding agreement, (ii) that constitutes trade secrets or (iii) that is subject to attorney-client privilege or constitutes attorney work product;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strike/>
          <w:color w:val="FF0000"/>
          <w:sz w:val="22"/>
        </w:rPr>
        <w:t xml:space="preserve">(f) </w:t>
      </w:r>
      <w:r>
        <w:rPr>
          <w:rFonts w:ascii="Times New Roman" w:hAnsi="Times New Roman"/>
          <w:color w:val="000000"/>
          <w:sz w:val="22"/>
        </w:rPr>
        <w:t xml:space="preserve">promptly after the same become publicly available, copies of all periodic and other reports, proxy statements and other materials filed by the Borrower or any Subsidiary with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SEC or any Governmental Authority succeeding to any or all of the functions of said commission or with any national securities exchange;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pPr>
      <w:r>
        <w:rPr>
          <w:rFonts w:ascii="Times New Roman" w:hAnsi="Times New Roman"/>
          <w:strike/>
          <w:color w:val="FF0000"/>
          <w:sz w:val="22"/>
        </w:rPr>
        <w:t xml:space="preserve">(g) </w:t>
      </w:r>
      <w:r>
        <w:rPr>
          <w:rFonts w:ascii="Times New Roman" w:hAnsi="Times New Roman"/>
          <w:color w:val="000000"/>
          <w:sz w:val="22"/>
        </w:rPr>
        <w:t>promptly after receipt thereof by the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the Borrower or any Subsidiary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pPr>
      <w:r>
        <w:rPr>
          <w:rFonts w:ascii="Times New Roman" w:hAnsi="Times New Roman"/>
          <w:strike/>
          <w:color w:val="FF0000"/>
          <w:sz w:val="22"/>
        </w:rPr>
        <w:t xml:space="preserve">(h) </w:t>
      </w:r>
      <w:r>
        <w:rPr>
          <w:rFonts w:ascii="Times New Roman" w:hAnsi="Times New Roman"/>
          <w:color w:val="000000"/>
          <w:sz w:val="22"/>
        </w:rPr>
        <w:t>promptly following any request therefor, information and documentation reasonably requested by the Administrative Agent or any Lender for purposes of compliance with applicable “know your customer” and anti-money laundering rules and regulations, including the USA Patriot Act and the Beneficial Ownership Regulation,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Documents required to be delivered pursuant to </w:t>
      </w:r>
      <w:r>
        <w:rPr>
          <w:rFonts w:ascii="Times New Roman" w:hAnsi="Times New Roman"/>
          <w:color w:val="000000"/>
          <w:sz w:val="22"/>
          <w:u w:val="single"/>
        </w:rPr>
        <w:t>Section 5.01(a)</w:t>
      </w:r>
      <w:r>
        <w:rPr>
          <w:rFonts w:ascii="Times New Roman" w:hAnsi="Times New Roman"/>
          <w:color w:val="000000"/>
          <w:sz w:val="22"/>
        </w:rPr>
        <w:t xml:space="preserve">, </w:t>
      </w:r>
      <w:r>
        <w:rPr>
          <w:rFonts w:ascii="Times New Roman" w:hAnsi="Times New Roman"/>
          <w:color w:val="000000"/>
          <w:sz w:val="22"/>
          <w:u w:val="single"/>
        </w:rPr>
        <w:t>(b), (</w:t>
      </w:r>
      <w:r>
        <w:rPr>
          <w:rFonts w:ascii="Times New Roman" w:hAnsi="Times New Roman"/>
          <w:strike/>
          <w:color w:val="FF0000"/>
          <w:sz w:val="22"/>
          <w:u w:val="single"/>
        </w:rPr>
        <w:t>d</w:t>
      </w:r>
      <w:r>
        <w:rPr>
          <w:rFonts w:ascii="Times New Roman" w:hAnsi="Times New Roman"/>
          <w:color w:val="0000FF"/>
          <w:sz w:val="22"/>
          <w:u w:val="single"/>
        </w:rPr>
        <w:t>e</w:t>
      </w:r>
      <w:r>
        <w:rPr>
          <w:rFonts w:ascii="Times New Roman" w:hAnsi="Times New Roman"/>
          <w:color w:val="000000"/>
          <w:sz w:val="22"/>
          <w:u w:val="single"/>
        </w:rPr>
        <w:t>)</w:t>
      </w:r>
      <w:r>
        <w:rPr>
          <w:rFonts w:ascii="Times New Roman" w:hAnsi="Times New Roman"/>
          <w:strike/>
          <w:color w:val="FF0000"/>
          <w:sz w:val="20"/>
        </w:rPr>
        <w:t xml:space="preserve"> </w:t>
      </w:r>
      <w:r>
        <w:rPr>
          <w:rFonts w:ascii="Times New Roman" w:hAnsi="Times New Roman"/>
          <w:strike/>
          <w:color w:val="FF0000"/>
          <w:sz w:val="22"/>
        </w:rPr>
        <w:t>or</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u w:val="single"/>
        </w:rPr>
        <w:t>(f)</w:t>
      </w:r>
      <w:r>
        <w:rPr>
          <w:rFonts w:ascii="Times New Roman" w:hAnsi="Times New Roman"/>
          <w:color w:val="0000FF"/>
          <w:sz w:val="22"/>
          <w:u w:val="single"/>
        </w:rPr>
        <w:t>, (g), or (i)</w:t>
      </w:r>
      <w:r>
        <w:rPr>
          <w:rFonts w:ascii="Times New Roman" w:hAnsi="Times New Roman"/>
          <w:color w:val="000000"/>
          <w:sz w:val="20"/>
        </w:rPr>
        <w:t xml:space="preserve"> </w:t>
      </w:r>
      <w:r>
        <w:rPr>
          <w:rFonts w:ascii="Times New Roman" w:hAnsi="Times New Roman"/>
          <w:color w:val="000000"/>
          <w:sz w:val="22"/>
        </w:rPr>
        <w:t>(to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made available by the Administrative Agent to which each Lender has access.</w:t>
      </w:r>
    </w:p>
    <w:p>
      <w:pPr>
        <w:pStyle w:val="TextBody"/>
        <w:bidi w:val="0"/>
        <w:spacing w:before="0" w:after="240"/>
        <w:jc w:val="both"/>
        <w:rPr>
          <w:rFonts w:ascii="Times New Roman" w:hAnsi="Times New Roman"/>
          <w:sz w:val="20"/>
        </w:rPr>
      </w:pPr>
      <w:r>
        <w:rPr>
          <w:rFonts w:ascii="Times New Roman" w:hAnsi="Times New Roman"/>
          <w:color w:val="000000"/>
          <w:sz w:val="22"/>
        </w:rPr>
        <w:t>The Borrower hereby acknowledges that (a) the Administrative Agent and/or any Arranger will make available to the Lenders and the Issuing Banks materials and/or information provided by or on behalf of the Borrower hereunder (collectively, “</w:t>
      </w:r>
      <w:r>
        <w:rPr>
          <w:rFonts w:ascii="Times New Roman" w:hAnsi="Times New Roman"/>
          <w:b/>
          <w:color w:val="000000"/>
          <w:sz w:val="22"/>
        </w:rPr>
        <w:t>Borrower Materials</w:t>
      </w:r>
      <w:r>
        <w:rPr>
          <w:rFonts w:ascii="Times New Roman" w:hAnsi="Times New Roman"/>
          <w:color w:val="000000"/>
          <w:sz w:val="20"/>
        </w:rPr>
        <w:t>”</w:t>
      </w:r>
      <w:r>
        <w:rPr>
          <w:rFonts w:ascii="Times New Roman" w:hAnsi="Times New Roman"/>
          <w:color w:val="000000"/>
          <w:sz w:val="22"/>
        </w:rPr>
        <w:t>) by posting the Borrower Materials on IntraLinks or another similar electronic system (the “</w:t>
      </w:r>
      <w:r>
        <w:rPr>
          <w:rFonts w:ascii="Times New Roman" w:hAnsi="Times New Roman"/>
          <w:b/>
          <w:color w:val="000000"/>
          <w:sz w:val="22"/>
        </w:rPr>
        <w:t>Platform</w:t>
      </w:r>
      <w:r>
        <w:rPr>
          <w:rFonts w:ascii="Times New Roman" w:hAnsi="Times New Roman"/>
          <w:color w:val="000000"/>
          <w:sz w:val="20"/>
        </w:rPr>
        <w:t>”</w:t>
      </w:r>
      <w:r>
        <w:rPr>
          <w:rFonts w:ascii="Times New Roman" w:hAnsi="Times New Roman"/>
          <w:color w:val="000000"/>
          <w:sz w:val="22"/>
        </w:rPr>
        <w:t>) and (b) certain of the Lenders (each, a “</w:t>
      </w:r>
      <w:r>
        <w:rPr>
          <w:rFonts w:ascii="Times New Roman" w:hAnsi="Times New Roman"/>
          <w:b/>
          <w:color w:val="000000"/>
          <w:sz w:val="22"/>
        </w:rPr>
        <w:t>Public Lender</w:t>
      </w:r>
      <w:r>
        <w:rPr>
          <w:rFonts w:ascii="Times New Roman" w:hAnsi="Times New Roman"/>
          <w:color w:val="000000"/>
          <w:sz w:val="20"/>
        </w:rPr>
        <w:t>”</w:t>
      </w:r>
      <w:r>
        <w:rPr>
          <w:rFonts w:ascii="Times New Roman" w:hAnsi="Times New Roman"/>
          <w:color w:val="000000"/>
          <w:sz w:val="22"/>
        </w:rPr>
        <w:t xml:space="preserve">) may have personnel who do not wish to receive Material Non-Public Information and who may be engaged in investment and other market-related activities with respect to such Persons’ securities. The Borrower hereby agrees that so long as the Borrower or its subsidiaries is the issuer of any outstanding debt or equity securities that are registered or issued pursuant to a private offering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(y) all Borrower Materials marked “PUBLIC” are permitted to be made available through a portion of the Platform designated “Public Side Information”; and (z) the Administrative Agent and the Arrangers shall treat any Borrower Materials that are not marked “PUBLIC” as being suitable only for posting on a portion of the Platform not designated “Public Side Information.” Notwithstanding the foregoing, the Borrower shall be under no obligation to mark any Borrower Materials “PUBLIC”; provided, however, that the following Borrower Materials shall be deemed to be marked “PUBLIC” unless the Borrower notifies the Administrative Agent promptly that any such document contains Material Non-Public Information: (1) the Loan Documents, (2) any notification of changes in the terms of the Facilities and (3) all information delivered pursuant to </w:t>
      </w:r>
      <w:r>
        <w:rPr>
          <w:rFonts w:ascii="Times New Roman" w:hAnsi="Times New Roman"/>
          <w:color w:val="000000"/>
          <w:sz w:val="22"/>
          <w:u w:val="single"/>
        </w:rPr>
        <w:t>Sections 5.01(a)</w:t>
      </w:r>
      <w:r>
        <w:rPr>
          <w:rFonts w:ascii="Times New Roman" w:hAnsi="Times New Roman"/>
          <w:color w:val="000000"/>
          <w:sz w:val="22"/>
        </w:rPr>
        <w:t xml:space="preserve">, </w:t>
      </w:r>
      <w:r>
        <w:rPr>
          <w:rFonts w:ascii="Times New Roman" w:hAnsi="Times New Roman"/>
          <w:color w:val="000000"/>
          <w:sz w:val="22"/>
          <w:u w:val="single"/>
        </w:rPr>
        <w:t>5.01(b)</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5.01(c).</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10.02</w:t>
      </w:r>
    </w:p>
    <w:p>
      <w:pPr>
        <w:pStyle w:val="TextBody"/>
        <w:bidi w:val="0"/>
        <w:spacing w:before="0" w:after="240"/>
        <w:jc w:val="both"/>
        <w:rPr/>
      </w:pPr>
      <w:r>
        <w:rPr>
          <w:rFonts w:ascii="Times New Roman" w:hAnsi="Times New Roman"/>
          <w:color w:val="000000"/>
          <w:sz w:val="22"/>
          <w:u w:val="single"/>
        </w:rPr>
        <w:t>Notices of Material Events</w:t>
      </w:r>
      <w:r>
        <w:rPr>
          <w:rFonts w:ascii="Times New Roman" w:hAnsi="Times New Roman"/>
          <w:color w:val="000000"/>
          <w:sz w:val="22"/>
        </w:rPr>
        <w:t>. The Borrower will furnish to the Administrative Agent (for prompt distribution to the Lenders) prompt written notice promptly following a Responsible Officer becoming aware of the existence of the following: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condition or event that constitutes a Default or Event of Default;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litigation or of any investigative proceedings by a Governmental Authority commenced or threatened in writing against the Borrower or any of its Subsidiaries of which they have notice, the outcome of which, if adversely determined, would reasonably be expected to have a Material Adverse Effect on the Borrower and its Subsidiaries on a consolidated basis;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upon becoming aware of the occurrence of any ERISA Event that, alone or together with any other ERISA Events that have occurred, would reasonably be expected to result in a Material Adverse Effect;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after becoming aware of any condition affecting the Borrower or any Subsidiary that results in, or would reasonably be expected to result in, a Material Adverse Effect;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change in the information provided in the Beneficial Ownership Certification delivered to such Lender that to the Borrower’s knowledge would result in a change to the list of beneficial owners identified in such certification.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notice delivered under this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 xml:space="preserve">(i) shall be in writing, (ii) shall contain a heading or a reference line that reads “Notice under </w:t>
      </w:r>
      <w:r>
        <w:rPr>
          <w:rFonts w:ascii="Times New Roman" w:hAnsi="Times New Roman"/>
          <w:color w:val="000000"/>
          <w:sz w:val="22"/>
          <w:u w:val="single"/>
        </w:rPr>
        <w:t>Section 5.02</w:t>
      </w:r>
      <w:r>
        <w:rPr>
          <w:rFonts w:ascii="Times New Roman" w:hAnsi="Times New Roman"/>
          <w:color w:val="000000"/>
          <w:sz w:val="20"/>
        </w:rPr>
        <w:t xml:space="preserve">” </w:t>
      </w:r>
      <w:r>
        <w:rPr>
          <w:rFonts w:ascii="Times New Roman" w:hAnsi="Times New Roman"/>
          <w:color w:val="000000"/>
          <w:sz w:val="22"/>
        </w:rPr>
        <w:t>and (iii) shall be accompanied by a statement of a Responsible Officer or other executive officer of the Borrower setting forth the details of the event or development requiring such notice and any action taken or proposed to be taken with respect thereto.</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10.03</w:t>
      </w:r>
    </w:p>
    <w:p>
      <w:pPr>
        <w:pStyle w:val="TextBody"/>
        <w:bidi w:val="0"/>
        <w:spacing w:before="0" w:after="240"/>
        <w:jc w:val="both"/>
        <w:rPr/>
      </w:pPr>
      <w:r>
        <w:rPr>
          <w:rFonts w:ascii="Times New Roman" w:hAnsi="Times New Roman"/>
          <w:color w:val="000000"/>
          <w:sz w:val="22"/>
          <w:u w:val="single"/>
        </w:rPr>
        <w:t>Existence; Conduct of Business</w:t>
      </w:r>
      <w:r>
        <w:rPr>
          <w:rFonts w:ascii="Times New Roman" w:hAnsi="Times New Roman"/>
          <w:color w:val="000000"/>
          <w:sz w:val="22"/>
        </w:rPr>
        <w:t xml:space="preserve">. Each Loan Party will, and will cause each Subsidiary to, do or cause to be done all things reasonably necessary to preserve, renew and keep in full force and effect its legal existence and the rights, qualifications, licenses, permits, franchises, governmental authorizations, licenses and permits material to the conduct of the Borrower’s business when taken as a whole, and maintain all requisite authority to conduct its business in each jurisdiction in which its business is conducted, except, in each case, where failure to maintain such requisite authority or failure to maintain such right, qualification, license, permit, franchise, governmental authorization, license or permit would not reasonably be expected to result in a Material Adverse Effect; </w:t>
      </w:r>
      <w:r>
        <w:rPr>
          <w:rFonts w:ascii="Times New Roman" w:hAnsi="Times New Roman"/>
          <w:i/>
          <w:color w:val="000000"/>
          <w:sz w:val="22"/>
        </w:rPr>
        <w:t xml:space="preserve">provided </w:t>
      </w:r>
      <w:r>
        <w:rPr>
          <w:rFonts w:ascii="Times New Roman" w:hAnsi="Times New Roman"/>
          <w:color w:val="000000"/>
          <w:sz w:val="22"/>
        </w:rPr>
        <w:t xml:space="preserve">that the foregoing shall not prohibit any merger, consolidation, liquidation or dissolution or any other transaction permitted by </w:t>
      </w:r>
      <w:r>
        <w:rPr>
          <w:rFonts w:ascii="Times New Roman" w:hAnsi="Times New Roman"/>
          <w:color w:val="000000"/>
          <w:sz w:val="22"/>
          <w:u w:val="single"/>
        </w:rPr>
        <w:t>Article VI</w:t>
      </w:r>
      <w:r>
        <w:rPr>
          <w:rFonts w:ascii="Times New Roman" w:hAnsi="Times New Roman"/>
          <w:color w:val="000000"/>
          <w:sz w:val="22"/>
        </w:rPr>
        <w: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10.04</w:t>
      </w:r>
    </w:p>
    <w:p>
      <w:pPr>
        <w:pStyle w:val="TextBody"/>
        <w:bidi w:val="0"/>
        <w:spacing w:before="0" w:after="240"/>
        <w:jc w:val="both"/>
        <w:rPr/>
      </w:pPr>
      <w:r>
        <w:rPr>
          <w:rFonts w:ascii="Times New Roman" w:hAnsi="Times New Roman"/>
          <w:color w:val="000000"/>
          <w:sz w:val="22"/>
          <w:u w:val="single"/>
        </w:rPr>
        <w:t>Payment of Taxes</w:t>
      </w:r>
      <w:r>
        <w:rPr>
          <w:rFonts w:ascii="Times New Roman" w:hAnsi="Times New Roman"/>
          <w:color w:val="000000"/>
          <w:sz w:val="22"/>
        </w:rPr>
        <w:t>. Each Loan Party will, and will cause each Subsidiary to, pay or discharge all U.S. federal and all other material Taxes (including in its capacity as a withholding agent, and which may, for the avoidance of doubt, be effected through the payment of a Tax Distribution), before the same shall become delinquent or in default (taking into account applicable grace periods), except where (a) the validity or amount thereof is being contested in good faith by appropriate proceedings, and such Loan Party or such Subsidiary has set aside on its books adequate reserves with respect thereto in accordance with GAAP or (b) the failure to make payment pending such contest could not, individually or in the aggregate, reasonably be expected to result in a Material Adverse Effect.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10.05</w:t>
      </w:r>
    </w:p>
    <w:p>
      <w:pPr>
        <w:pStyle w:val="TextBody"/>
        <w:bidi w:val="0"/>
        <w:spacing w:before="0" w:after="240"/>
        <w:jc w:val="both"/>
        <w:rPr/>
      </w:pPr>
      <w:r>
        <w:rPr>
          <w:rFonts w:ascii="Times New Roman" w:hAnsi="Times New Roman"/>
          <w:color w:val="000000"/>
          <w:sz w:val="22"/>
          <w:u w:val="single"/>
        </w:rPr>
        <w:t>Maintenance of Properties</w:t>
      </w:r>
      <w:r>
        <w:rPr>
          <w:rFonts w:ascii="Times New Roman" w:hAnsi="Times New Roman"/>
          <w:color w:val="000000"/>
          <w:sz w:val="22"/>
        </w:rPr>
        <w:t>. Except to the extent it would not be reasonably expected to result in a Material Adverse Effect, each Loan Party will, and will cause each Subsidiary to, keep and maintain all tangible property, material to the conduct of its business in good working order and condition, ordinary wear and tear and damage by fire or other casualty excepted.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10.06</w:t>
      </w:r>
    </w:p>
    <w:p>
      <w:pPr>
        <w:pStyle w:val="TextBody"/>
        <w:bidi w:val="0"/>
        <w:spacing w:before="0" w:after="240"/>
        <w:jc w:val="both"/>
        <w:rPr/>
      </w:pPr>
      <w:r>
        <w:rPr>
          <w:rFonts w:ascii="Times New Roman" w:hAnsi="Times New Roman"/>
          <w:color w:val="000000"/>
          <w:sz w:val="22"/>
          <w:u w:val="single"/>
        </w:rPr>
        <w:t>Books and Records; Inspection Rights</w:t>
      </w:r>
      <w:r>
        <w:rPr>
          <w:rFonts w:ascii="Times New Roman" w:hAnsi="Times New Roman"/>
          <w:color w:val="000000"/>
          <w:sz w:val="22"/>
        </w:rPr>
        <w:t xml:space="preserve">. Each Loan Party will, and will cause each Subsidiary to, (a) keep proper books of record and account in which true and complete entries in all material respects in accordance with GAAP will be made reflecting all of its and its Subsidiaries material business and financial transactions; </w:t>
      </w:r>
      <w:r>
        <w:rPr>
          <w:rFonts w:ascii="Times New Roman" w:hAnsi="Times New Roman"/>
          <w:i/>
          <w:color w:val="000000"/>
          <w:sz w:val="22"/>
        </w:rPr>
        <w:t xml:space="preserve">provided </w:t>
      </w:r>
      <w:r>
        <w:rPr>
          <w:rFonts w:ascii="Times New Roman" w:hAnsi="Times New Roman"/>
          <w:color w:val="000000"/>
          <w:sz w:val="22"/>
        </w:rPr>
        <w:t xml:space="preserve">that, it being understood and agreed that Foreign Subsidiaries may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maintain individual books and records in conformity in all material respects with generally accepted accounting principles that are applicable in their respective jurisdiction of organization, and (b) permit any representatives designated by the Administrative Agent on behalf of the Lenders (including employees of the Administrative Agent, any Lender or any consultants, accountants, lawyers, agents and appraisers retained by the Administrative Agent, in each case, who have signed a non-disclosure agreement in form and substance reasonably satisfactory to the Borrower), upon reasonable prior written notice, to visit and inspect its properties, to examine and make copies from its books and records, including to discuss its affairs, finances and condition with its officers, all at such reasonable times during Borrower’s normal business hours;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so long as no Event of Default has occurred and is continuing, such visits shall be limited to no more than once per fiscal year. In the absence of a continuing Event of Default only one (1) such examination in any period of twelve (12) consecutive calendar months shall be conducted (as coordinated by the Administrative Agent) and shall be at the Borrower’s expense, and during the continuance of an Event of Default all such examinations shall be at the Borrower’s expense (and may occur with greater frequency); </w:t>
      </w:r>
      <w:r>
        <w:rPr>
          <w:rFonts w:ascii="Times New Roman" w:hAnsi="Times New Roman"/>
          <w:i/>
          <w:color w:val="000000"/>
          <w:sz w:val="22"/>
        </w:rPr>
        <w:t>provided</w:t>
      </w:r>
      <w:r>
        <w:rPr>
          <w:rFonts w:ascii="Times New Roman" w:hAnsi="Times New Roman"/>
          <w:color w:val="000000"/>
          <w:sz w:val="22"/>
        </w:rPr>
        <w:t xml:space="preserve">, that any and all expenses incurred by the Administrative Agent pursuant to this </w:t>
      </w:r>
      <w:r>
        <w:rPr>
          <w:rFonts w:ascii="Times New Roman" w:hAnsi="Times New Roman"/>
          <w:color w:val="000000"/>
          <w:sz w:val="22"/>
          <w:u w:val="single"/>
        </w:rPr>
        <w:t>Section 5.06</w:t>
      </w:r>
      <w:r>
        <w:rPr>
          <w:color w:val="000000"/>
        </w:rPr>
        <w:t xml:space="preserve"> </w:t>
      </w:r>
      <w:r>
        <w:rPr>
          <w:rFonts w:ascii="Times New Roman" w:hAnsi="Times New Roman"/>
          <w:color w:val="000000"/>
          <w:sz w:val="22"/>
        </w:rPr>
        <w:t xml:space="preserve">in the absence of a continuing Event of Default shall be solely at such Lender’s expense and Borrower shall have no obligation to reimburse any such Lender’s expenses. Notwithstanding anything to the contrary in this </w:t>
      </w:r>
      <w:r>
        <w:rPr>
          <w:rFonts w:ascii="Times New Roman" w:hAnsi="Times New Roman"/>
          <w:color w:val="000000"/>
          <w:sz w:val="22"/>
          <w:u w:val="single"/>
        </w:rPr>
        <w:t>Section 5.06</w:t>
      </w:r>
      <w:r>
        <w:rPr>
          <w:rFonts w:ascii="Times New Roman" w:hAnsi="Times New Roman"/>
          <w:color w:val="000000"/>
          <w:sz w:val="22"/>
        </w:rPr>
        <w:t>,</w:t>
      </w:r>
      <w:r>
        <w:rPr>
          <w:color w:val="000000"/>
          <w:u w:val="single"/>
        </w:rPr>
        <w:t xml:space="preserve"> </w:t>
      </w:r>
      <w:r>
        <w:rPr>
          <w:rFonts w:ascii="Times New Roman" w:hAnsi="Times New Roman"/>
          <w:color w:val="000000"/>
          <w:sz w:val="22"/>
        </w:rPr>
        <w:t>no Borrower nor any Subsidiary will be required to disclose, permit the inspection, examination or making copies of abstracts of, or discussion of, any document, information or other matter (i) in respect of which disclosure to the Administrative Agent or any Lender (or their respective representatives or contractors) is prohibited by any law or regulation or by any binding agreement (ii) that is a trade secret or (iii) that is subject to attorney-client privilege or constitutes attorney work product.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10.07</w:t>
      </w:r>
    </w:p>
    <w:p>
      <w:pPr>
        <w:pStyle w:val="TextBody"/>
        <w:bidi w:val="0"/>
        <w:spacing w:before="0" w:after="240"/>
        <w:jc w:val="both"/>
        <w:rPr/>
      </w:pPr>
      <w:r>
        <w:rPr>
          <w:rFonts w:ascii="Times New Roman" w:hAnsi="Times New Roman"/>
          <w:color w:val="000000"/>
          <w:sz w:val="22"/>
          <w:u w:val="single"/>
        </w:rPr>
        <w:t>Compliance with Laws</w:t>
      </w:r>
      <w:r>
        <w:rPr>
          <w:rFonts w:ascii="Times New Roman" w:hAnsi="Times New Roman"/>
          <w:color w:val="000000"/>
          <w:sz w:val="22"/>
        </w:rPr>
        <w:t>. Each Loan Party will, and will cause each of its Subsidiaries to comply with all material laws, rules, regulations and orders of any Governmental Authority applicable to it or its property (including without limitation Environmental Laws) and except where the failure to do so, individually or in the aggregate, would not reasonably be expected to result in a Material Adverse Effect. Each Loan Party will maintain in effect and enforce or be subject to policies and procedures designed to ensure compliance in all material respects by Loan Party, its Subsidiaries and their respective directors, officers, employees and agents with applicable Anti-Corruption Laws and Sanctions.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10.08</w:t>
      </w:r>
    </w:p>
    <w:p>
      <w:pPr>
        <w:pStyle w:val="TextBody"/>
        <w:bidi w:val="0"/>
        <w:spacing w:before="0" w:after="240"/>
        <w:jc w:val="both"/>
        <w:rPr/>
      </w:pPr>
      <w:r>
        <w:rPr>
          <w:rFonts w:ascii="Times New Roman" w:hAnsi="Times New Roman"/>
          <w:color w:val="000000"/>
          <w:sz w:val="22"/>
          <w:u w:val="single"/>
        </w:rPr>
        <w:t>Use of Proceeds and Letters of Credit</w:t>
      </w:r>
      <w:r>
        <w:rPr>
          <w:rFonts w:ascii="Times New Roman" w:hAnsi="Times New Roman"/>
          <w:color w:val="000000"/>
          <w:sz w:val="22"/>
        </w:rPr>
        <w:t xml:space="preserve">. The proceeds of the Loans will be used only for purposes permitted under </w:t>
      </w:r>
      <w:r>
        <w:rPr>
          <w:rFonts w:ascii="Times New Roman" w:hAnsi="Times New Roman"/>
          <w:color w:val="000000"/>
          <w:sz w:val="22"/>
          <w:u w:val="single"/>
        </w:rPr>
        <w:t>Section 3.20(b)</w:t>
      </w:r>
      <w:r>
        <w:rPr>
          <w:rFonts w:ascii="Times New Roman" w:hAnsi="Times New Roman"/>
          <w:color w:val="000000"/>
          <w:sz w:val="22"/>
        </w:rPr>
        <w:t>. No part of the proceeds of any Loan will be used to buy or carry, or to extend credit to others to buy or carry, any Margin Stock or for any other purpose that entails a violation of any of the Regulations of the Board, including Regulations T, U and X. All Letters of Credit will be issued only to support general corporate purposes of the Borrower and its Subsidiaries. The Borrower will not request any Borrowing or Letter of Credit, and the Borrower shall not use, and shall procure that its Subsidiaries and its or their respective directors, officers, employees and agents shall not use the proceeds of any Borrowing or use any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in each case in violation of Sanctions, or (c) in any manner that would result in the violation of any Anti-Money Laundering Laws or Sanctions applicable to any party hereto.</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10.09</w:t>
      </w:r>
    </w:p>
    <w:p>
      <w:pPr>
        <w:pStyle w:val="TextBody"/>
        <w:bidi w:val="0"/>
        <w:spacing w:before="0" w:after="240"/>
        <w:jc w:val="both"/>
        <w:rPr/>
      </w:pPr>
      <w:r>
        <w:rPr>
          <w:rFonts w:ascii="Times New Roman" w:hAnsi="Times New Roman"/>
          <w:color w:val="000000"/>
          <w:sz w:val="22"/>
          <w:u w:val="single"/>
        </w:rPr>
        <w:t>Insurance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Loan Party will, and will cause each Subsidiary to, maintain with financially sound and reputable carriers (after giving effect to any self-insurance customary for similarly situated Persons engaged in the same or similar businesses and in similar locations as the Borrower and the Subsidiaries) (i) insurance in such amounts (with no greater risk retention) and against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such risks and such other hazards, as the Borrower in the exercise of its reasonable judgment deem to be adequate, as are customary in the industry for companies of established reputation engaged in the same or similar business in the same or similar locations and owning or operating similar properties, and (ii) all insurance required pursuant to the Collateral Documents. During an Event of Default, the Borrower will furnish to the Administrative Agent, upon reasonable request of the Administrative Agent, information in reasonable detail as to the insurance so maintained. The Borrower shall deliver, within ninety (90) days (or such later date as may be agreed by the Administrative Agent, in its reasonable discretion) after the Effective Date, to the Administrative Agent endorsements (x) to all property or casualty insurance policies covering Collateral naming the Administrative Agent as lender loss payee, (y) to all general liability and other liability policies naming the Administrative Agent an additional insured, which endorsements shall be in effect at all times and (z) providing that thirty (30) days’ advance notice will be given to Administrative Agent prior to any cancellation or non-renewal of such policy (or ten (10) days’ advance notice prior to any such cancellation due to non-payment of premium). In the event the Borrower or any Subsidiary at any time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in consultation with the Borrower, obtain and maintain such policies of insurance and pay such premiums and take any other action with respect thereto which the Administrative Agent reasonably deems necessary to ensure compliance under this </w:t>
      </w:r>
      <w:r>
        <w:rPr>
          <w:rFonts w:ascii="Times New Roman" w:hAnsi="Times New Roman"/>
          <w:color w:val="000000"/>
          <w:sz w:val="22"/>
          <w:u w:val="single"/>
        </w:rPr>
        <w:t>Section 5.09</w:t>
      </w:r>
      <w:r>
        <w:rPr>
          <w:rFonts w:ascii="Times New Roman" w:hAnsi="Times New Roman"/>
          <w:color w:val="000000"/>
          <w:sz w:val="22"/>
        </w:rPr>
        <w:t>. All sums so disbursed by the Administrative Agent shall constitute part of the Obligations, payable as provided in this Agreement. No later than ninety (90) days (or such later date as may be agreed by the Administrative Agent, in its reasonable discretion) after the Effective Date (or the date any such insurance is obtained, renewed or extended in the case of insurance obtained, renewed or extended after the Effective Date), the Borrower will cause all property and casualty insurance policies with respect to Collateral to be endorsed or otherwise amended to include a lender’s loss payable, mortgagee or additional insured, as applicable, endorsement, or otherwise reasonably satisfactory to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contained herein, if any improved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the applicable Loan Party to (i) to the extent required pursuant to the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10.10</w:t>
      </w:r>
    </w:p>
    <w:p>
      <w:pPr>
        <w:pStyle w:val="TextBody"/>
        <w:bidi w:val="0"/>
        <w:spacing w:before="0" w:after="240"/>
        <w:jc w:val="both"/>
        <w:rPr/>
      </w:pPr>
      <w:r>
        <w:rPr>
          <w:rFonts w:ascii="Times New Roman" w:hAnsi="Times New Roman"/>
          <w:color w:val="000000"/>
          <w:sz w:val="22"/>
          <w:u w:val="single"/>
        </w:rPr>
        <w:t>Additional Subsidiaries</w:t>
      </w:r>
      <w:r>
        <w:rPr>
          <w:rFonts w:ascii="Times New Roman" w:hAnsi="Times New Roman"/>
          <w:color w:val="000000"/>
          <w:sz w:val="22"/>
        </w:rPr>
        <w:t xml:space="preserve">. In the event (i) the Borrower acquires or creates any Subsidiary (other than an Excluded Subsidiary) or (ii) any Excluded Subsidiary ceases to be an Excluded Subsidiary after the Effective Date, the Borrower shall promptly (and in any event within ninety (90) days (or such longer time as the Administrative Agent may agree in its reasonable discretion) after the acquisition or creation or designation of such Subsidiary, or change in such Subsidiary’s status as an Excluded Subsidiary) cause such Subsidiary to become a Guarantor by delivering to the Administrative Agent (x) a Joinder Agreement, duly executed by such Subsidiary, pursuant to which such Subsidiary agrees to be bound by the terms and provisions of this Agreement, and (y) such joinders or supplements to the Security Agreement and/or the other relevant Collateral Documents and such other documents as may be necessary to perfect (if and to the extent required to be perfected under any of the Loan Documents) the Lien in any property of such Subsidiary which constitutes Collateral in accordance with all applicable Requirements of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Law, including the filing of financing statements and such joinders to be accompanied by appropriate corporate resolutions, other corporate organizational documentation and customary legal opinions upon the reasonable request of the Administrative Agent in form and substance reasonably satisfactory to the Administrative Agent and its counsel.</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10.11</w:t>
      </w:r>
    </w:p>
    <w:p>
      <w:pPr>
        <w:pStyle w:val="TextBody"/>
        <w:bidi w:val="0"/>
        <w:spacing w:before="0" w:after="240"/>
        <w:jc w:val="both"/>
        <w:rPr/>
      </w:pPr>
      <w:r>
        <w:rPr>
          <w:rFonts w:ascii="Times New Roman" w:hAnsi="Times New Roman"/>
          <w:color w:val="000000"/>
          <w:sz w:val="22"/>
          <w:u w:val="single"/>
        </w:rPr>
        <w:t>Additional Collateral; Further Assurances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Borrower will, and each Subsidiary (other than an Excluded Subsidiary) will, cause (i) all of its Collateral and (ii) all outstanding equity interests of the Borrower’s Subsidiaries to the extent constituting Collateral (limited to 65% of the voting equity interests and 100% of any non-voting equity interests of any Foreign Subsidiary Holding Company or any CFC), excluding any Subsidiaries of Foreign Subsidiary Holding Companies or CFCs, to be subject at all times to first priority, perfected (if and to the extent required to be perfected under any of the Loan Documents) Liens in favor of the Administrative Agent for the benefit of the Secured Parties to secure the Secured Obligations in accordance with, and subject to, the terms and conditions of the Collateral Documents, subject in any case to Liens permitted by </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Without limiting the foregoing, the Borrower will, and will cause each Subsidiary (other than an Excluded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Times New Roman" w:hAnsi="Times New Roman"/>
          <w:color w:val="000000"/>
          <w:sz w:val="22"/>
          <w:u w:val="single"/>
        </w:rPr>
        <w:t>Section 4.01</w:t>
      </w:r>
      <w:r>
        <w:rPr>
          <w:rFonts w:ascii="Times New Roman" w:hAnsi="Times New Roman"/>
          <w:color w:val="000000"/>
          <w:sz w:val="22"/>
        </w:rPr>
        <w:t>,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(and subject to the exceptions set forth therein and in any other Loan Document).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after the Effective Date, any Loan Party acquires any Material Real Property (other than an Excluded Property), the Borrower shall promptly notify the Administrative Agent thereof and shall deliver, or cause to be delivered to the Administrative Agent within one-hundred-twenty (120) days of such acquisition (or such longer period as the Administrative Agent may agree in sole discretion) (i) counterparts of a Mortgage with respect to such Mortgaged Property duly executed and delivered by the record owner of such Mortgaged Property, (ii) a fully paid lender’s policy of title insurance (or a marked unconditional title insurance commitment or pro forma policy having the effect of a policy of title insurance) issued by a nationally recognized title insurance company insuring the Lien of each such Mortgage as a first priority Lien (subject to Permitted Liens) on the Mortgaged Property described therein, naming the Administrative Agent and its respective successors and assigns as the insured, free of any other Liens (other than Permitted Liens), together with such customary lender’s endorsements as the Administrative Agent may reasonably request to the extent available in the applicable jurisdiction at commercially reasonable rates, in an amount reasonably acceptable to the Administrative Agent, (iii) in each case if reasonably requested by the Administrative Agent, a customary legal opinion with respect to each such Mortgage, from counsel qualified to opine in each jurisdiction where a Mortgaged Property is located regarding the enforceability of the Mortgage, and in each case, such other customary matters as may be in form and substance reasonably satisfactory to the Administrative Agent, (iv) a survey or existing survey together with a no change affidavit of such Mortgaged Property, sufficient for the title company to issue a lender’s title policy with the standard survey exception omitted from and customary survey endorsements included in such title policy, (v) evidence of payment of title insurance premiums and expenses and all recording, mortgage, transfer and stamp taxes and fees payable in connection with recording the Mortgage, any amendments thereto and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fixture filings in appropriate county land office(s) and (vi) a completed “Life-of-Loan” Federal Emergency Management Agency standard flood hazard determination with respect to each such Mortgaged Property, and if such Mortgaged Property is located in a special flood hazard area, a notice about special flood hazard area status and flood disaster assistance duly executed by Borrower and the applicable Loan Party relating thereto together with evidence of insurance as required pursuant to Section 5.09(b).</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herein or in any other Loan Document, it is understood and agreed that, unless otherwise decided by the Borrower, in its sole discretion: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Loan Party or any Subsidiary shall be required to take any action outside the United States to guarantee the Obligations or grant, maintain or perfect any security interest in the Collateral (including the execution of any agreement, document or other instrument governed by the law of any jurisdiction other than the United States, any State thereof or the District of Columbia);</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 Parties and their respective Affiliates shall not be required, nor shall the Administrative Agent be authorized, and no representation, warranty, or covenant in any Loan Document shall be considered to be breached by any failure, (x) to perfect any Lien by any means other than by (A) filings pursuant to the Uniform Commercial Code in the office of the secretary of state (or equivalent filing office of any relevant State), (B) Intellectual Property security interest filings in the United States Patent and Trademark Office or United States Copyright Office as expressly required herein and under the other Loan Documents, (C) control agreements as set forth in Section 5.14, (D) delivery of Equity Interest and material instruments (as defined in the UCC) and (E) real estate mortgages in respect of Material Real Property to the extent required under the Loan Documents, (y) to take any action in any non-U.S. jurisdiction or pursuant to the requirements of the laws of any non-U.S. jurisdiction in order to create any security interests or to perfect any security interests in assets located outside of (or governed by or arising or existing under, pursuant to or by virtue of any Laws outside of) the United States, including with respect to any Intellectual Property registered outside of the United States (it being understood that there shall be no security agreements or pledge agreements governed by the laws of any non-U.S. jurisdiction), or (z) to enter into any source code escrow arrangement (or be obligated to register or apply to register any Intellectual Property);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landlord waivers, collateral access agreements, bailee waivers or other similar agreements with respect to the Collateral shall be required hereunder or under any other Loan Document;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notice to obtain the consent of any Governmental Authority under the Federal Assignment of Claims Act (or any state equivalent thereof) shall be required;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environmental reports shall be required to be obtained hereunder or under any other Loan Document.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10.12</w:t>
      </w:r>
    </w:p>
    <w:p>
      <w:pPr>
        <w:pStyle w:val="TextBody"/>
        <w:bidi w:val="0"/>
        <w:spacing w:before="0" w:after="240"/>
        <w:jc w:val="both"/>
        <w:rPr/>
      </w:pPr>
      <w:r>
        <w:rPr>
          <w:rFonts w:ascii="Times New Roman" w:hAnsi="Times New Roman"/>
          <w:color w:val="000000"/>
          <w:sz w:val="22"/>
          <w:u w:val="single"/>
        </w:rPr>
        <w:t>Transactions with Affiliates</w:t>
      </w:r>
      <w:r>
        <w:rPr>
          <w:rFonts w:ascii="Times New Roman" w:hAnsi="Times New Roman"/>
          <w:color w:val="000000"/>
          <w:sz w:val="22"/>
        </w:rPr>
        <w:t xml:space="preserve">. No Loan Party will, nor will any Loan Party permit its respective Subsidiaries to, sell, lease or otherwise transfer any property or assets to, or purchase, lease or otherwise acquire any property or assets from, or otherwise engage in any other transactions with, any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of its Affiliates in excess of $10,000,000, except (a) transactions on fair and reasonable terms in the ordinary course of business (as determined by the Borrower), (b) the payment of reasonable fees and reasonable expense reimbursements to directors, officers, advisors and employees of any Loan Party or any of its Subsidiaries, and compensation and indemnification of, and other employment agreements and arrangements, employee benefit plans and stock incentive plans paid to directors, officers, advisors and employees of any Loan Party or any of its Subsidiaries in the ordinary course of business, (c) transactions undertaken in good faith for the purpose of improving the consolidated tax efficiency of a Loan Party and its Subsidiaries and are not, taken as a whole, materially adverse to the security interest securing the Obligations or to the Loan Guaranty, (d) other transactions to the extent permitted by the terms of this Agreement, (e) transactions that are at prices and on other terms and conditions, taken as a whole, not materially less favorable to such Loan Party or such Subsidiary than could be obtained on an arm’s-length basis from unrelated third parties (as determined in good faith by such Loan Party or Subsidiary), (f) [intentionally omitted], (g) so long as no Event of Default under </w:t>
      </w:r>
      <w:r>
        <w:rPr>
          <w:rFonts w:ascii="Times New Roman" w:hAnsi="Times New Roman"/>
          <w:color w:val="000000"/>
          <w:sz w:val="22"/>
          <w:u w:val="single"/>
        </w:rPr>
        <w:t>Section 7.01(a)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color w:val="000000"/>
        </w:rPr>
        <w:t xml:space="preserve"> </w:t>
      </w:r>
      <w:r>
        <w:rPr>
          <w:rFonts w:ascii="Times New Roman" w:hAnsi="Times New Roman"/>
          <w:color w:val="000000"/>
          <w:sz w:val="22"/>
        </w:rPr>
        <w:t xml:space="preserve">has occurred and is continuing, the payment of management, monitoring, consulting, advisory and other fees (including transaction and termination fees) in the maximum amount permitted pursuant to the Management Agreement as in effect on the Effective Date; provided that, upon the occurrence and during the continuance of an Event of Default under </w:t>
      </w:r>
      <w:r>
        <w:rPr>
          <w:rFonts w:ascii="Times New Roman" w:hAnsi="Times New Roman"/>
          <w:color w:val="000000"/>
          <w:sz w:val="22"/>
          <w:u w:val="single"/>
        </w:rPr>
        <w:t>Section 7.01(a)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color w:val="000000"/>
        </w:rPr>
        <w:t xml:space="preserve"> </w:t>
      </w:r>
      <w:r>
        <w:rPr>
          <w:rFonts w:ascii="Times New Roman" w:hAnsi="Times New Roman"/>
          <w:color w:val="000000"/>
          <w:sz w:val="22"/>
        </w:rPr>
        <w:t xml:space="preserve">such amounts described in this clause (i) may accrue, but not be payable in cash during such period, but all such accrued amounts may be payable in cash upon the cure or waiver of such Event of Default under </w:t>
      </w:r>
      <w:r>
        <w:rPr>
          <w:rFonts w:ascii="Times New Roman" w:hAnsi="Times New Roman"/>
          <w:color w:val="000000"/>
          <w:sz w:val="22"/>
          <w:u w:val="single"/>
        </w:rPr>
        <w:t>Section 7.01(a)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rFonts w:ascii="Times New Roman" w:hAnsi="Times New Roman"/>
          <w:color w:val="000000"/>
          <w:sz w:val="22"/>
        </w:rPr>
        <w:t>; (ii) indemnifications and reimbursement of expenses, in each case, pursuant to the Management Agreement; and (iii) the payment of indemnities and reasonable expenses of Sponsor related to Borrower and its Subsidiaries, (h) transactions approved by a majority of the disinterested members of the board of directors (or similar governing body) of the Borrower, (i) any transaction in respect of which the Borrower delivers to the Administrative Agent a letter addressed to the board of directors (or similar governing body) of the Borrower from an accounting, appraisal or investment banking firm, in each case of nationally recognized standing that is in the good faith determination of the Borrower qualified to render such letter, which letter states that (x) such transaction is on terms that are substantially no less favorable, when taken as a whole, to the Borrower or the applicable Subsidiary, as applicable, than would be obtained in a comparable arm’s-length transaction with a person that is not an Affiliate or (y) such transaction is fair, when taken as a whole, to the Borrower or the applicable Subsidiary, as applicable, from a financial point of view, and (j) the IPO and the transactions related thereto.</w:t>
      </w:r>
      <w:r>
        <w:rPr>
          <w:color w:val="000000"/>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10.13</w:t>
      </w:r>
    </w:p>
    <w:p>
      <w:pPr>
        <w:pStyle w:val="TextBody"/>
        <w:bidi w:val="0"/>
        <w:spacing w:before="0" w:after="240"/>
        <w:jc w:val="both"/>
        <w:rPr/>
      </w:pPr>
      <w:r>
        <w:rPr>
          <w:rFonts w:ascii="Times New Roman" w:hAnsi="Times New Roman"/>
          <w:color w:val="000000"/>
          <w:sz w:val="22"/>
          <w:u w:val="single"/>
        </w:rPr>
        <w:t>Post-Effective Date Covenant</w:t>
      </w:r>
      <w:r>
        <w:rPr>
          <w:rFonts w:ascii="Times New Roman" w:hAnsi="Times New Roman"/>
          <w:color w:val="000000"/>
          <w:sz w:val="22"/>
        </w:rPr>
        <w:t xml:space="preserve">. The Borrower agrees to deliver, or cause to be delivered (or to use commercially reasonable efforts to deliver or cause to be delivered, to the extent applicable and specified on </w:t>
      </w:r>
      <w:r>
        <w:rPr>
          <w:rFonts w:ascii="Times New Roman" w:hAnsi="Times New Roman"/>
          <w:color w:val="000000"/>
          <w:sz w:val="22"/>
          <w:u w:val="single"/>
        </w:rPr>
        <w:t>Schedule 5.13</w:t>
      </w:r>
      <w:r>
        <w:rPr>
          <w:rFonts w:ascii="Times New Roman" w:hAnsi="Times New Roman"/>
          <w:color w:val="000000"/>
          <w:sz w:val="22"/>
        </w:rPr>
        <w:t xml:space="preserve">), to the Administrative Agent, the items described on </w:t>
      </w:r>
      <w:r>
        <w:rPr>
          <w:rFonts w:ascii="Times New Roman" w:hAnsi="Times New Roman"/>
          <w:color w:val="000000"/>
          <w:sz w:val="22"/>
          <w:u w:val="single"/>
        </w:rPr>
        <w:t>Schedule 5.13</w:t>
      </w:r>
      <w:r>
        <w:rPr>
          <w:color w:val="000000"/>
        </w:rPr>
        <w:t xml:space="preserve"> </w:t>
      </w:r>
      <w:r>
        <w:rPr>
          <w:rFonts w:ascii="Times New Roman" w:hAnsi="Times New Roman"/>
          <w:color w:val="000000"/>
          <w:sz w:val="22"/>
        </w:rPr>
        <w:t>hereof on or before the dates specified with respect to such items, or such later dates as may be agreed to by the Administrative Agent in its reasonable discretion.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10.14</w:t>
      </w:r>
    </w:p>
    <w:p>
      <w:pPr>
        <w:pStyle w:val="TextBody"/>
        <w:bidi w:val="0"/>
        <w:spacing w:before="0" w:after="240"/>
        <w:jc w:val="both"/>
        <w:rPr/>
      </w:pPr>
      <w:r>
        <w:rPr>
          <w:rFonts w:ascii="Times New Roman" w:hAnsi="Times New Roman"/>
          <w:color w:val="000000"/>
          <w:sz w:val="22"/>
          <w:u w:val="single"/>
        </w:rPr>
        <w:t>Cash Management</w:t>
      </w:r>
      <w:r>
        <w:rPr>
          <w:rFonts w:ascii="Times New Roman" w:hAnsi="Times New Roman"/>
          <w:color w:val="000000"/>
          <w:sz w:val="22"/>
        </w:rPr>
        <w:t xml:space="preserve">. In the event Unrestricted Cash of Borrower and its Subsidiaries is less than $250,000,000, as set forth in a Compliance Certificate, the Borrower shall, and shall cause each Loan Party, within 90 days (or such longer period as the Administrative Agent may reasonably agree) following delivery of such Compliance Certificate pursuant to </w:t>
      </w:r>
      <w:r>
        <w:rPr>
          <w:rFonts w:ascii="Times New Roman" w:hAnsi="Times New Roman"/>
          <w:color w:val="000000"/>
          <w:sz w:val="22"/>
          <w:u w:val="single"/>
        </w:rPr>
        <w:t>Section 5.01(c)</w:t>
      </w:r>
      <w:r>
        <w:rPr>
          <w:rFonts w:ascii="Times New Roman" w:hAnsi="Times New Roman"/>
          <w:color w:val="000000"/>
          <w:sz w:val="22"/>
        </w:rPr>
        <w:t>, to use commercially reasonable efforts to enter into a Control Account Agreement with the Administrative Agent and each bank or other financial institution with which the Borrower or any Loan Party maintains a deposit account or securities account (other than (i) any account in which the aggregate average daily maximum balance over a 30-day period does not at any time exceed (x) $2,500,000 for any single deposit account or securities account or (y) $10,000,000 in the aggregate for all such accounts, (ii) zero-balance accounts solely for the purpose of managing local disbursements, payroll and withholding, (iii) Fiduciary Accounts, and (iv) accounts solely holding cash collateral that is subject of a deposit or pledge constituting a Lien securing obligations other than the Secured Obligations, which Lien is expressly permitted hereunder (collectively, the accounts described in clauses (i) through (iv) above, the “</w:t>
      </w:r>
      <w:r>
        <w:rPr>
          <w:rFonts w:ascii="Times New Roman" w:hAnsi="Times New Roman"/>
          <w:b/>
          <w:i/>
          <w:color w:val="000000"/>
          <w:sz w:val="22"/>
        </w:rPr>
        <w:t>Unrestricted Accounts</w:t>
      </w:r>
      <w:r>
        <w:rPr>
          <w:color w:val="000000"/>
        </w:rPr>
        <w:t>”</w:t>
      </w:r>
      <w:r>
        <w:rPr>
          <w:rFonts w:ascii="Times New Roman" w:hAnsi="Times New Roman"/>
          <w:color w:val="000000"/>
          <w:sz w:val="22"/>
        </w:rPr>
        <w:t>)) (each, a “</w:t>
      </w:r>
      <w:r>
        <w:rPr>
          <w:rFonts w:ascii="Times New Roman" w:hAnsi="Times New Roman"/>
          <w:b/>
          <w:i/>
          <w:color w:val="000000"/>
          <w:sz w:val="22"/>
        </w:rPr>
        <w:t>Controlled Account</w:t>
      </w:r>
      <w:r>
        <w:rPr>
          <w:color w:val="000000"/>
        </w:rPr>
        <w:t>”</w:t>
      </w:r>
      <w:r>
        <w:rPr>
          <w:rFonts w:ascii="Times New Roman" w:hAnsi="Times New Roman"/>
          <w:color w:val="000000"/>
          <w:sz w:val="22"/>
        </w:rPr>
        <w:t xml:space="preserve">). In addition, each Loan Party shall use commercially reasonable efforts to enter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into a Control Account Agreement with respect to any new deposit account or securities account (other than any Unrestricted Account), in each case within 120 days (or such longer period as the Administrative Agent may reasonably agree) after such account is established. If any Event of Default has occurred and is continuing, the Administrative Agent may (at the direction of the Required Lenders) cause the applicable depositary bank or securities intermediary to honor the instructions of the Administrative Agent with respect to any Controlled Account in accordance with the terms of the applicable Control Account Agreement.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10.15</w:t>
      </w:r>
    </w:p>
    <w:p>
      <w:pPr>
        <w:pStyle w:val="TextBody"/>
        <w:bidi w:val="0"/>
        <w:spacing w:before="0" w:after="240"/>
        <w:jc w:val="both"/>
        <w:rPr/>
      </w:pPr>
      <w:r>
        <w:rPr>
          <w:rFonts w:ascii="Times New Roman" w:hAnsi="Times New Roman"/>
          <w:color w:val="000000"/>
          <w:sz w:val="22"/>
          <w:u w:val="single"/>
        </w:rPr>
        <w:t>Negative Pledge</w:t>
      </w:r>
      <w:r>
        <w:rPr>
          <w:rFonts w:ascii="Times New Roman" w:hAnsi="Times New Roman"/>
          <w:color w:val="000000"/>
          <w:sz w:val="22"/>
        </w:rPr>
        <w:t xml:space="preserve">. Each Loan Party hereby agrees and covenants that from and after the Effective Date, without the prior written consent of the Administrative Agent, such Loan Party will not, other than with respect to a sale and leaseback transaction, a Disposition to a Loan Party (or as a result of a merger of one Loan Party into another Loan Party), or other Permitted Lien (other than clause (y) of the definition of Permitted Liens) permitted by the terms of this Agreement, sell, convey, or otherwise transfer, encumber, assign, permit a security interest to attach to, pledge, or mortgage the Bertram Property. </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XI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NEGATIVE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(or cash collateralized or backstopped in accordance with the terms herein), the Borrower covenants and agrees with the Lenders that: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11.01</w:t>
      </w:r>
    </w:p>
    <w:p>
      <w:pPr>
        <w:pStyle w:val="TextBody"/>
        <w:bidi w:val="0"/>
        <w:spacing w:before="0" w:after="240"/>
        <w:jc w:val="both"/>
        <w:rPr/>
      </w:pPr>
      <w:r>
        <w:rPr>
          <w:rFonts w:ascii="Times New Roman" w:hAnsi="Times New Roman"/>
          <w:color w:val="000000"/>
          <w:sz w:val="22"/>
          <w:u w:val="single"/>
        </w:rPr>
        <w:t>Indebtedness</w:t>
      </w:r>
      <w:r>
        <w:rPr>
          <w:rFonts w:ascii="Times New Roman" w:hAnsi="Times New Roman"/>
          <w:color w:val="000000"/>
          <w:sz w:val="22"/>
        </w:rPr>
        <w:t>. No Loan Party will, nor will any Loan Party permit any of its respective Subsidiaries to, create, incur, assume or suffer to exist any Indebtedness, except: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Secured Obligations;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Indebtedness existing on the date hereof (i) not in excess of $2,000,000 in the aggregate, (ii) set forth in </w:t>
      </w:r>
      <w:r>
        <w:rPr>
          <w:rFonts w:ascii="Times New Roman" w:hAnsi="Times New Roman"/>
          <w:color w:val="000000"/>
          <w:sz w:val="22"/>
          <w:u w:val="single"/>
        </w:rPr>
        <w:t>Schedule 6.01</w:t>
      </w:r>
      <w:r>
        <w:rPr>
          <w:color w:val="000000"/>
        </w:rPr>
        <w:t xml:space="preserve"> </w:t>
      </w:r>
      <w:r>
        <w:rPr>
          <w:rFonts w:ascii="Times New Roman" w:hAnsi="Times New Roman"/>
          <w:color w:val="000000"/>
          <w:sz w:val="22"/>
        </w:rPr>
        <w:t xml:space="preserve">and (iii) any extensions, renewals, refinancings and replacements of any such Indebtedness described in </w:t>
      </w:r>
      <w:r>
        <w:rPr>
          <w:rFonts w:ascii="Times New Roman" w:hAnsi="Times New Roman"/>
          <w:color w:val="000000"/>
          <w:sz w:val="22"/>
          <w:u w:val="single"/>
        </w:rPr>
        <w:t>clauses (i)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color w:val="000000"/>
        </w:rPr>
        <w:t xml:space="preserve"> </w:t>
      </w:r>
      <w:r>
        <w:rPr>
          <w:rFonts w:ascii="Times New Roman" w:hAnsi="Times New Roman"/>
          <w:color w:val="000000"/>
          <w:sz w:val="22"/>
        </w:rPr>
        <w:t xml:space="preserve">herein in accordance with </w:t>
      </w:r>
      <w:r>
        <w:rPr>
          <w:rFonts w:ascii="Times New Roman" w:hAnsi="Times New Roman"/>
          <w:color w:val="000000"/>
          <w:sz w:val="22"/>
          <w:u w:val="single"/>
        </w:rPr>
        <w:t>clause (t)</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Indebtedness of the Borrower to any Subsidiary and of any Subsidiary to the Borrower or any other Subsidiary, </w:t>
      </w:r>
      <w:r>
        <w:rPr>
          <w:rFonts w:ascii="Times New Roman" w:hAnsi="Times New Roman"/>
          <w:i/>
          <w:color w:val="000000"/>
          <w:sz w:val="22"/>
        </w:rPr>
        <w:t xml:space="preserve">provided </w:t>
      </w:r>
      <w:r>
        <w:rPr>
          <w:rFonts w:ascii="Times New Roman" w:hAnsi="Times New Roman"/>
          <w:color w:val="000000"/>
          <w:sz w:val="22"/>
        </w:rPr>
        <w:t xml:space="preserve">that (i) Indebtedness of any Subsidiary that is not a Loan Party to the Borrower or any other Loan Party shall be subject to </w:t>
      </w:r>
      <w:r>
        <w:rPr>
          <w:rFonts w:ascii="Times New Roman" w:hAnsi="Times New Roman"/>
          <w:color w:val="000000"/>
          <w:sz w:val="22"/>
          <w:u w:val="single"/>
        </w:rPr>
        <w:t>Section 6.04</w:t>
      </w:r>
      <w:r>
        <w:rPr>
          <w:rFonts w:ascii="Times New Roman" w:hAnsi="Times New Roman"/>
          <w:color w:val="000000"/>
          <w:sz w:val="22"/>
        </w:rPr>
        <w:t>, and (ii) Indebtedness of any Loan Party to any Subsidiary that is not a Loan Party shall be subordinated to the Obligations on terms reasonably satisfactory to the Administrative Agent (it being understood that the subordination terms of the Intercompany Note are satisfactory to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Guarantees by a Loan Party of Indebtedness or other obligations of any other Loan Party and by any Subsidiary that is not a Loan Party of Indebtedness or other obligations of any Loan Party or any other Subsidiary;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incurred in the ordinary course of business with respect to (i) capital lease (including any Capital Lease Obligations), (ii) financing lease, (iii) construction financing and (iv) purchase money Indebtedness (including any Indebtedness acquired in connection with a Permitted Acquisition or acquisition of equipment); provided that any such Indebtedness shall, as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applicable, be secured only by (w) the asset subject to such capital lease or by the asset acquired in connection with the incurrence, renewal, extension, restructuring or refinancing of such Indebtedness, in each case together with proceeds, accessions or products of any disposition thereof and any related security deposits, (x) deposit accounts and reserve accounts solely related to such construction financing, (y) the assets subject to any cross-collateralization of obligations owed to the holder of such Indebtedness with respect to any capital lease (including any Capital Lease Obligations), construction financing, financing lease or purchase money Indebtedness and (z) the assets being constructed pursuant to such construction financing; provided that, with respect to any transaction that includes cross-collateralization of obligations owed to any holder of such Indebtedness;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of a Loan Party or any Subsidiary as an account party in respect of commercial letters of credit;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rPr>
        <w:t xml:space="preserve">So long as no Event of Default shall have occurred and be continuing, Indebtedness of any Loan Party issued in lieu of the Incremental Facilities that is secured by the Collateral on a </w:t>
      </w:r>
      <w:r>
        <w:rPr>
          <w:rFonts w:ascii="Times New Roman" w:hAnsi="Times New Roman"/>
          <w:i/>
          <w:color w:val="000000"/>
          <w:sz w:val="22"/>
        </w:rPr>
        <w:t>pari passu</w:t>
      </w:r>
      <w:r>
        <w:rPr>
          <w:color w:val="000000"/>
        </w:rPr>
        <w:t xml:space="preserve"> </w:t>
      </w:r>
      <w:r>
        <w:rPr>
          <w:rFonts w:ascii="Times New Roman" w:hAnsi="Times New Roman"/>
          <w:color w:val="000000"/>
          <w:sz w:val="22"/>
        </w:rPr>
        <w:t>basis, junior lien basis or unsecured basis (“</w:t>
      </w:r>
      <w:r>
        <w:rPr>
          <w:rFonts w:ascii="Times New Roman" w:hAnsi="Times New Roman"/>
          <w:b/>
          <w:i/>
          <w:color w:val="000000"/>
          <w:sz w:val="22"/>
        </w:rPr>
        <w:t>Incremental Equivalent Debt</w:t>
      </w:r>
      <w:r>
        <w:rPr>
          <w:color w:val="000000"/>
        </w:rPr>
        <w:t>”</w:t>
      </w:r>
      <w:r>
        <w:rPr>
          <w:rFonts w:ascii="Times New Roman" w:hAnsi="Times New Roman"/>
          <w:color w:val="000000"/>
          <w:sz w:val="22"/>
        </w:rPr>
        <w:t>) in an amount not to exceed, (i) $50,000,000 (</w:t>
      </w:r>
      <w:r>
        <w:rPr>
          <w:rFonts w:ascii="Times New Roman" w:hAnsi="Times New Roman"/>
          <w:i/>
          <w:color w:val="000000"/>
          <w:sz w:val="22"/>
        </w:rPr>
        <w:t xml:space="preserve">minus </w:t>
      </w:r>
      <w:r>
        <w:rPr>
          <w:rFonts w:ascii="Times New Roman" w:hAnsi="Times New Roman"/>
          <w:color w:val="000000"/>
          <w:sz w:val="22"/>
        </w:rPr>
        <w:t xml:space="preserve">any amounts used pursuant to the basket set forth in clause (a) of the definition of “Incremental Cap” pursuant to Section 2.22), </w:t>
      </w:r>
      <w:r>
        <w:rPr>
          <w:rFonts w:ascii="Times New Roman" w:hAnsi="Times New Roman"/>
          <w:i/>
          <w:color w:val="000000"/>
          <w:sz w:val="22"/>
        </w:rPr>
        <w:t xml:space="preserve">plus </w:t>
      </w:r>
      <w:r>
        <w:rPr>
          <w:rFonts w:ascii="Times New Roman" w:hAnsi="Times New Roman"/>
          <w:color w:val="000000"/>
          <w:sz w:val="22"/>
        </w:rPr>
        <w:t xml:space="preserve">(ii) unlimited amounts so long as (x) in the case of Indebtedness secured by Liens on the Collateral that rank </w:t>
      </w:r>
      <w:r>
        <w:rPr>
          <w:rFonts w:ascii="Times New Roman" w:hAnsi="Times New Roman"/>
          <w:i/>
          <w:color w:val="000000"/>
          <w:sz w:val="22"/>
        </w:rPr>
        <w:t>pari passu</w:t>
      </w:r>
      <w:r>
        <w:rPr>
          <w:color w:val="000000"/>
        </w:rPr>
        <w:t xml:space="preserve"> </w:t>
      </w:r>
      <w:r>
        <w:rPr>
          <w:rFonts w:ascii="Times New Roman" w:hAnsi="Times New Roman"/>
          <w:color w:val="000000"/>
          <w:sz w:val="22"/>
        </w:rPr>
        <w:t xml:space="preserve">with the Liens securing the Loans, such Indebtedness does not exceed a Consolidated First Lien Net Leverage Ratio of 2.50:1.00 (calculated on a Pro Forma Basis), (y) in the case of Indebtedness secured by Liens on the Collateral that rank junior to the Liens on the Collateral securing the Loans, the Consolidated Secured Net Leverage Ratio to exceed 3.00:1.00 and (z) in the case of unsecured Indebtedness, the Consolidated Total Net Leverage Ratio to exceed 3.50:1.00 (calculated on a Pro Forma Basis);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such Incremental Equivalent Debt (i) does not mature prior to the latest final maturity date of the Loans, (ii) have covenants and defaults (x) that reflect market terms and conditions (taken as a whole) at the time of incurrence or issuance (as determined by the Borrower) or (ii) not materially more restrictive (excluding pricing), when taken as a whole, than those under this Agreement (except for covenants or other provisions (x) applicable only to periods after the latest final maturity of any Class of then outstanding Loans hereunder or (y) reasonably satisfactory to the Administrative Agent), (iii) shall not be secured by any Lien on any asset of the Borrower or any Loan Parties that does not also secure the Loans, or be guaranteed by any Person other than the Guarantors, (iv) the amortization on such Indebtedness shall not exceed 20% per annum and (v) shall be subject to an Acceptable Subordination or Intercreditor Agreement; </w:t>
      </w:r>
      <w:r>
        <w:rPr>
          <w:rFonts w:ascii="Times New Roman" w:hAnsi="Times New Roman"/>
          <w:i/>
          <w:color w:val="000000"/>
          <w:sz w:val="22"/>
        </w:rPr>
        <w:t>provided</w:t>
      </w:r>
      <w:r>
        <w:rPr>
          <w:rFonts w:ascii="Times New Roman" w:hAnsi="Times New Roman"/>
          <w:color w:val="000000"/>
          <w:sz w:val="22"/>
        </w:rPr>
        <w:t xml:space="preserve">, further, that if Incremental Equivalent Debt incurred under clause (g)(i) is incurred concurrently with the incurrence of Incremental Equivalent Debt in reliance on clause (g)(ii) above (or any other fixed basket hereunder), the Consolidated First Lien Net Leverage Ratio, Consolidated Secured Net Leverage Ratio and Consolidated Total Net Leverage Ratio shall be permitted to exceed the Consolidated First Lien Net Leverage Ratio, Consolidated Secured Net Leverage Ratio and Consolidated Total Net Leverage Ratio set forth in clause (g(ii) above to the extent of such amounts incurred in reliance on clause (g)(i) (or any other fixed basket hereunder) solely for the purpose of determining whether such concurrently incurred amounts incurred under clause (g)(ii) are permissible (it being understood that (I) if the Consolidated First Lien Net Leverage Ratio, Consolidated Secured Net Leverage Ratio and Consolidated Total Net Leverage Ratio incurrence test is met, then, at the election of the Borrower, any Incremental Equivalent Debt or other Indebtedness permitted hereunder may be incurred under clause (g)(ii) above regardless of whether there is capacity under clause (g)(i) above (or any other fixed basket) and (II) any portion of any incremental Commitment or other Indebtedness permitted hereunder incurred in reliance on clause (g)(i) (or any other fixed basket) shall be automatically reclassified as incurred under clause (g)(ii) if the Borrower meets the Consolidated First Lien Net Leverage Ratio, Consolidated Secured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Net Leverage Ratio and Consolidated Total Net Leverage Ratio under clause (g)(ii) at such time on a Pro Forma Basis);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 respect of letters of credit, bank guarantees, bankers’ acceptances, warehouse receipts or similar instruments issued or created in the ordinary course of business) owed to any Person providing workers’ compensation, health, disability or other employee benefits or property, casualty or liability insurance or self-insurance, pursuant to reimbursement or indemnification obligations to such Person, in each case incurred in the ordinary course of business or existing on the Effective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representing deferred compensation, severance, pension, and health and welfare retirement benefits or the equivalent to current and former employees, officers, directors, advisors or consultants of any Loan Party and its Subsidiaries incurred in the ordinary course of business or existing on the Effective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or obligations (in respect of letters of credit, bank guarantees or similar instruments related thereto, in each case in the ordinary course of business or consistent with past practice) of any Loan Party in respect of self-insurance, performance bonds, bid bonds, appeal bonds, surety bonds, statutory and similar obligations, in each case provided in the ordinary course of business;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arising from the honoring by a bank or other financial institution of a check, draft or similar instrument drawn against insufficient funds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arising out of judgments or awards under circumstances not giving rise to an Event of Default;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additional Indebtedness of the Borrower or any of its Subsidiaries in an aggregate principal amount (for the Borrower and all Subsidiaries) not to exceed $20,000,000;</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w:t>
      </w:r>
    </w:p>
    <w:p>
      <w:pPr>
        <w:pStyle w:val="TextBody"/>
        <w:bidi w:val="0"/>
        <w:spacing w:before="0" w:after="240"/>
        <w:jc w:val="both"/>
        <w:rPr/>
      </w:pPr>
      <w:r>
        <w:rPr>
          <w:rFonts w:ascii="Times New Roman" w:hAnsi="Times New Roman"/>
          <w:color w:val="000000"/>
          <w:sz w:val="22"/>
        </w:rPr>
        <w:t xml:space="preserve">(x) Subordinated Indebtedness in an aggregate principal amount for all such Subordinated Indebtedness at any time outstanding, not to exceed, $50,000,000 and (y) Junior Lien Indebtedness in an aggregate principal amount for all such Junior Lien Indebtedness at any time outstanding, not to exceed, together with amounts incurred under clause (n)(x) above and clause (u) below, $50,000,000;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that</w:t>
      </w:r>
      <w:r>
        <w:rPr>
          <w:rFonts w:ascii="Times New Roman" w:hAnsi="Times New Roman"/>
          <w:color w:val="000000"/>
          <w:sz w:val="22"/>
        </w:rPr>
        <w:t>, (i) in each case in this clause (n), (A) such Indebtedness shall have a stated final maturity that is no earlier than, solely with respect to Subordinated Indebtedness, six months after the Latest Maturity Date and, solely with respect to Junior Lien Indebtedness, 91 days after the Latest Maturity Date and (B) such Indebtedness shall be subject to an Acceptable Subordination or Intercreditor Agreement, (ii) solely with respect to Junior Lien Indebtedness, (x) no Subsidiary that is not a Loan Party shall have Guarantee obligations with respect to obligations of the borrower thereunder, (y) such Indebtedness shall not be secured by a Lien on any asset that does not constitute Collateral, and (z) the applicable interest rate on such Indebtedness shall not exceed 10% per annum, other than interest that takes the form of pay-in-kind interest, and (iii) solely with respect to Subordinated Indebtedness, (x) the interest on such Indebtedness shall only be payable in kind and (y) such Indebtedness shall not include any amortization, mandatory redemption, repurchase or repayment features that are applicable prior to the repayment in full of the Obligations (other than contingent indemnification obligations not then due);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w:t>
      </w:r>
    </w:p>
    <w:p>
      <w:pPr>
        <w:pStyle w:val="TextBody"/>
        <w:bidi w:val="0"/>
        <w:spacing w:before="0" w:after="240"/>
        <w:jc w:val="both"/>
        <w:rPr/>
      </w:pPr>
      <w:r>
        <w:rPr>
          <w:rFonts w:ascii="Times New Roman" w:hAnsi="Times New Roman"/>
          <w:color w:val="000000"/>
          <w:sz w:val="22"/>
        </w:rPr>
        <w:t xml:space="preserve">Indebtedness of any Person that becomes a Subsidiary after the Effective Date; </w:t>
      </w:r>
      <w:r>
        <w:rPr>
          <w:rFonts w:ascii="Times New Roman" w:hAnsi="Times New Roman"/>
          <w:i/>
          <w:color w:val="000000"/>
          <w:sz w:val="22"/>
        </w:rPr>
        <w:t xml:space="preserve">provided </w:t>
      </w:r>
      <w:r>
        <w:rPr>
          <w:rFonts w:ascii="Times New Roman" w:hAnsi="Times New Roman"/>
          <w:color w:val="000000"/>
          <w:sz w:val="22"/>
        </w:rPr>
        <w:t>that (i) such Indebtedness exists at the time such Person becomes a Subsidiary and is not created in contemplation of or in connection with such Person becoming a Subsidiary or (ii) the aggregate principal amount of Indebtedness permitted by this clause (p)(ii) shall not exceed $10,000,000 at any time outstanding;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incurred by the Borrower or its Subsidiaries arising from agreements providing for indemnification, adjustment of purchase price, working capital or similar obligations (including earn-outs, and any other deferred payments of a similar nature incurred in connection with any investment) and seller notes, in each case, whether or not evidenced by a note, and incurred or assumed in connection with any Permitted Acquisition, any permitted Investment or any asset sale permitted under this Agreement or Investment permitted under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 respect of treasury, depositary, cash management and netting services, automatic clearing house arrangements, overdraft protections and other financial accommodations of the nature described in the definition of “Banking Services” and otherwise in connection with securities accounts, deposit accounts and employees’ credit or purchase cards, in each case incurred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w:t>
      </w:r>
    </w:p>
    <w:p>
      <w:pPr>
        <w:pStyle w:val="TextBody"/>
        <w:bidi w:val="0"/>
        <w:spacing w:before="0" w:after="240"/>
        <w:jc w:val="both"/>
        <w:rPr/>
      </w:pPr>
      <w:r>
        <w:rPr>
          <w:rFonts w:ascii="Times New Roman" w:hAnsi="Times New Roman"/>
          <w:color w:val="000000"/>
          <w:sz w:val="22"/>
        </w:rPr>
        <w:t xml:space="preserve">Indebtedness consisting of promissory notes issued to current or former officers, directors, consultants and employees of the Borrower or any Subsidiary, their respective estates, spouses or former spouses issued in exchange for the purchase or redemption by the Borrower or such Subsidiary of its Equity Interests to the extent permitted by </w:t>
      </w:r>
      <w:r>
        <w:rPr>
          <w:rFonts w:ascii="Times New Roman" w:hAnsi="Times New Roman"/>
          <w:color w:val="000000"/>
          <w:sz w:val="22"/>
          <w:u w:val="single"/>
        </w:rPr>
        <w:t>Section 6.07(a)</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(t)</w:t>
      </w:r>
    </w:p>
    <w:p>
      <w:pPr>
        <w:pStyle w:val="TextBody"/>
        <w:bidi w:val="0"/>
        <w:spacing w:before="0" w:after="240"/>
        <w:jc w:val="both"/>
        <w:rPr/>
      </w:pPr>
      <w:r>
        <w:rPr>
          <w:rFonts w:ascii="Times New Roman" w:hAnsi="Times New Roman"/>
          <w:color w:val="000000"/>
          <w:sz w:val="22"/>
        </w:rPr>
        <w:t>Indebtedness which represents extensions, renewals, refinancing or replacements (such new Indebtedness being referred to herein as the “</w:t>
      </w:r>
      <w:r>
        <w:rPr>
          <w:rFonts w:ascii="Times New Roman" w:hAnsi="Times New Roman"/>
          <w:b/>
          <w:i/>
          <w:color w:val="000000"/>
          <w:sz w:val="22"/>
        </w:rPr>
        <w:t>Refinance Indebtedness</w:t>
      </w:r>
      <w:r>
        <w:rPr>
          <w:color w:val="000000"/>
        </w:rPr>
        <w:t>”</w:t>
      </w:r>
      <w:r>
        <w:rPr>
          <w:rFonts w:ascii="Times New Roman" w:hAnsi="Times New Roman"/>
          <w:color w:val="000000"/>
          <w:sz w:val="22"/>
        </w:rPr>
        <w:t>) of any of the Indebtedness described in clauses (b), (e), (g), (m), (n), (p), (v), (w), (x), (y), and (dd), hereof (such Indebtedness being referred to herein as the “</w:t>
      </w:r>
      <w:r>
        <w:rPr>
          <w:rFonts w:ascii="Times New Roman" w:hAnsi="Times New Roman"/>
          <w:b/>
          <w:i/>
          <w:color w:val="000000"/>
          <w:sz w:val="22"/>
        </w:rPr>
        <w:t>Original Indebtedness</w:t>
      </w:r>
      <w:r>
        <w:rPr>
          <w:color w:val="00000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(i) such Refinance Indebtedness does not increase the principal amount of the Original Indebtedness, other than in respect of any fees, costs, accrued interest, and premiums incurred in connection therewith, (ii) any Liens securing such Refinance Indebtedness are not extended to any additional property of any Loan Party or any Subsidiary unless such Lien is otherwise permitted by this Agreement, (iii) [intentionally omitted], (iv) [intentionally omitted], and (vi) if such Original Indebtedness was subordinated in right of payment or security to the Secured Obligations, then the terms and conditions (taken as a whole) of such Refinance Indebtedness must include subordination terms and conditions that, taken as a whole, are not materially less favorable to the Administrative Agent and the Lenders as those that were applicable to such Original Indebtedness;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(u)</w:t>
      </w:r>
    </w:p>
    <w:p>
      <w:pPr>
        <w:pStyle w:val="TextBody"/>
        <w:bidi w:val="0"/>
        <w:spacing w:before="0" w:after="240"/>
        <w:jc w:val="both"/>
        <w:rPr/>
      </w:pPr>
      <w:r>
        <w:rPr>
          <w:rFonts w:ascii="Times New Roman" w:hAnsi="Times New Roman"/>
          <w:color w:val="000000"/>
          <w:sz w:val="22"/>
        </w:rPr>
        <w:t xml:space="preserve">Indebtedness in an aggregate principal amount at any time outstanding not to exceed, together with Indebtedness incurred under clause (n) above, $50,000,000; </w:t>
      </w:r>
      <w:r>
        <w:rPr>
          <w:rFonts w:ascii="Times New Roman" w:hAnsi="Times New Roman"/>
          <w:i/>
          <w:color w:val="000000"/>
          <w:sz w:val="22"/>
        </w:rPr>
        <w:t xml:space="preserve">provided </w:t>
      </w:r>
      <w:r>
        <w:rPr>
          <w:rFonts w:ascii="Times New Roman" w:hAnsi="Times New Roman"/>
          <w:color w:val="000000"/>
          <w:sz w:val="22"/>
        </w:rPr>
        <w:t xml:space="preserve">that (i) such Indebtedness shall have a stated final maturity that is no earlier than 91 days after the Latest Maturity Date and (ii) (x) no Subsidiary that is not a Loan Party shall have Guarantee obligations with respect to obligations of the borrower thereunder, (y) such Indebtedness shall not include any amortization, mandatory redemption, repurchase or repayment features that are applicable prior to the repayment in full of the Obligations and (z) the applicable interest rate on such Indebtedness shall not exceed 10% per annum, other than interest that takes the form of pay-in-kind interest;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pPr>
      <w:r>
        <w:rPr>
          <w:rFonts w:ascii="Times New Roman" w:hAnsi="Times New Roman"/>
          <w:color w:val="000000"/>
          <w:sz w:val="22"/>
        </w:rPr>
        <w:t xml:space="preserve">Indebtedness arising out of any sale and leaseback transaction; </w:t>
      </w:r>
      <w:r>
        <w:rPr>
          <w:rFonts w:ascii="Times New Roman" w:hAnsi="Times New Roman"/>
          <w:i/>
          <w:color w:val="000000"/>
          <w:sz w:val="22"/>
        </w:rPr>
        <w:t>provided,</w:t>
      </w:r>
      <w:r>
        <w:rPr>
          <w:color w:val="000000"/>
        </w:rPr>
        <w:t xml:space="preserve"> </w:t>
      </w:r>
      <w:r>
        <w:rPr>
          <w:rFonts w:ascii="Times New Roman" w:hAnsi="Times New Roman"/>
          <w:i/>
          <w:color w:val="000000"/>
          <w:sz w:val="22"/>
        </w:rPr>
        <w:t>that</w:t>
      </w:r>
      <w:r>
        <w:rPr>
          <w:rFonts w:ascii="Times New Roman" w:hAnsi="Times New Roman"/>
          <w:color w:val="000000"/>
          <w:sz w:val="22"/>
        </w:rPr>
        <w:t xml:space="preserve">, the aggregate principal amount of Indebtedness permitted by this clause (v) shall not exceed $75,000,000 at any time outstanding;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consisting of the financing of insurance premiums arising in the ordinary course of business (including, for the avoidance of doubt, related to insurance required to be maintained pursuant to this Agreement);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guaranties with respect to Indebtedness to the extent the Person obligated with respect to such guaranty would not be prohibited from incurring the primary Indebtedness that is guaranteed thereby;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of Foreign Subsidiaries not to exceed $20,000,000 in the aggregate at any time outstanding;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Guarantees by the Borrower and any Subsidiary in respect of Indebtedness of the Borrower or any Subsidiary otherwise permitted hereunder (and cross-guarantees of guarantees by Borrower of Indebtedness of any Subsidiary otherwise permitted hereunder); provided that if the Indebtedness being guaranteed is subordinated in right of payment to the Obligations, such Guarantee shall be subordinated in right of payment to the Guarantee of the Obligations on terms at least as favorable (as reasonably determined by the Borrower) to the Lenders as those contained in the subordination of such Indebtedness;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 respect of Swap Agreements designed to hedge against the Borrower’s or any Subsidiary’s exposure to interest rates, foreign exchange rates or commodities pricing risks incurred in the ordinary course of business and not for speculative purposes and Guarantees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consisting of obligations of the Borrower or any of its Subsidiaries under deferred compensation or other similar arrangements incurred by such Person in connection with the IPO, the Transactions, Permitted Acquisitions, transactions with Affiliates or any other Investment, in each case, permitted hereunder;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consisting of fees to any Sponsor payable pursuant to the Management Agreement (in an amount not to exceed the amount permitted thereunder as of the Effective Date);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(dd)</w:t>
      </w:r>
    </w:p>
    <w:p>
      <w:pPr>
        <w:pStyle w:val="TextBody"/>
        <w:bidi w:val="0"/>
        <w:spacing w:before="0" w:after="240"/>
        <w:jc w:val="both"/>
        <w:rPr/>
      </w:pPr>
      <w:r>
        <w:rPr>
          <w:rFonts w:ascii="Times New Roman" w:hAnsi="Times New Roman"/>
          <w:color w:val="000000"/>
          <w:sz w:val="22"/>
        </w:rPr>
        <w:t xml:space="preserve">to the extent constituting Indebtedness, all premiums (if any), interest (including post-petition interest and paid in kind), fees, expenses, charges and additional or contingent interest on obligations described in </w:t>
      </w:r>
      <w:r>
        <w:rPr>
          <w:rFonts w:ascii="Times New Roman" w:hAnsi="Times New Roman"/>
          <w:color w:val="000000"/>
          <w:sz w:val="22"/>
          <w:u w:val="single"/>
        </w:rPr>
        <w:t>clauses (a)</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(dd)</w:t>
      </w:r>
      <w:r>
        <w:rPr>
          <w:color w:val="000000"/>
        </w:rPr>
        <w:t xml:space="preserve"> </w:t>
      </w:r>
      <w:r>
        <w:rPr>
          <w:rFonts w:ascii="Times New Roman" w:hAnsi="Times New Roman"/>
          <w:color w:val="000000"/>
          <w:sz w:val="22"/>
        </w:rPr>
        <w:t>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plus the aggregate amount of fees, underwriting discounts, premiums (including tender premiums) and other costs and expenses (including OID) incurred in connection with such refinancing.</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accrual of interest, the accretion of accreted value and the payment of interest in the form of additional Indebtedness shall not be deemed to be an incurrence of Indebtedness for purposes of this </w:t>
      </w:r>
      <w:r>
        <w:rPr>
          <w:rFonts w:ascii="Times New Roman" w:hAnsi="Times New Roman"/>
          <w:color w:val="000000"/>
          <w:sz w:val="22"/>
          <w:u w:val="single"/>
        </w:rPr>
        <w:t>Section 6.01</w:t>
      </w:r>
      <w:r>
        <w:rPr>
          <w:rFonts w:ascii="Times New Roman" w:hAnsi="Times New Roman"/>
          <w:color w:val="000000"/>
          <w:sz w:val="22"/>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will not treat (1) unsecured Indebtedness as subordinated or junior to secured Indebtedness merely because it is unsecured or (2) senior Indebtedness as subordinated or junior in right of payment to any other senior Indebtedness merely because it has a junior priority with respect to the same Collateral.</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11.02</w:t>
      </w:r>
    </w:p>
    <w:p>
      <w:pPr>
        <w:pStyle w:val="TextBody"/>
        <w:bidi w:val="0"/>
        <w:spacing w:before="0" w:after="240"/>
        <w:jc w:val="both"/>
        <w:rPr/>
      </w:pPr>
      <w:r>
        <w:rPr>
          <w:rFonts w:ascii="Times New Roman" w:hAnsi="Times New Roman"/>
          <w:color w:val="000000"/>
          <w:sz w:val="22"/>
          <w:u w:val="single"/>
        </w:rPr>
        <w:t>Liens</w:t>
      </w:r>
      <w:r>
        <w:rPr>
          <w:rFonts w:ascii="Times New Roman" w:hAnsi="Times New Roman"/>
          <w:color w:val="000000"/>
          <w:sz w:val="22"/>
        </w:rPr>
        <w:t>. No Loan Party will, nor will any Loan Party permit any of its respective Subsidiaries to, create, incur, or assume any Lien on any property or asset now owned or hereafter acquired by it, except Permitted Liens.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11.03</w:t>
      </w:r>
    </w:p>
    <w:p>
      <w:pPr>
        <w:pStyle w:val="TextBody"/>
        <w:bidi w:val="0"/>
        <w:spacing w:before="0" w:after="240"/>
        <w:jc w:val="both"/>
        <w:rPr/>
      </w:pPr>
      <w:r>
        <w:rPr>
          <w:rFonts w:ascii="Times New Roman" w:hAnsi="Times New Roman"/>
          <w:color w:val="000000"/>
          <w:sz w:val="22"/>
          <w:u w:val="single"/>
        </w:rPr>
        <w:t>Fundamental Changes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Loan Party will, nor will any Loan Party permit its respective Subsidiaries to, merge into or consolidate with any other Person, or permit any other Person to merge into or consolidate with it, or otherwise Dispose of all or substantially all of its assets, or all or substantially all of the stock of any of its respective Subsidiaries (in each case, whether now owned or hereafter acquired), or liquidate, divide or dissolve, except that, if at the time thereof and immediately (subject to the Limited Condition Transaction provisions) after giving effect thereto no Event of Default shall have occurred and be continuing: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Subsidiary may merge into or liquidate or dissolve into, or consolidate with a Loan Party in a transaction in which such Loan Party is the surviving entity;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any Loan Party may merge into or liquidate or dissolve into, or consolidate with any other Loan Party in a transaction in which the surviving entity is a Loan Party (</w:t>
      </w:r>
      <w:r>
        <w:rPr>
          <w:rFonts w:ascii="Times New Roman" w:hAnsi="Times New Roman"/>
          <w:i/>
          <w:color w:val="000000"/>
          <w:sz w:val="22"/>
        </w:rPr>
        <w:t xml:space="preserve">provided </w:t>
      </w:r>
      <w:r>
        <w:rPr>
          <w:rFonts w:ascii="Times New Roman" w:hAnsi="Times New Roman"/>
          <w:color w:val="000000"/>
          <w:sz w:val="22"/>
        </w:rPr>
        <w:t xml:space="preserve">that any such merger involving the Borrower must result in the Borrower as the surviving entity) and any subsidiary that is not a Loan Party may merge, amalgamate or consolidate with one or more other subsidiaries that are not Loan Parties;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any Subsidiary may liquidate, divide or dissolve if the Borrower determines in good faith that such liquidation, division or dissolution is in the best interests of the Borrower and is not materially disadvantageous to the Lenders; </w:t>
      </w:r>
      <w:r>
        <w:rPr>
          <w:rFonts w:ascii="Times New Roman" w:hAnsi="Times New Roman"/>
          <w:i/>
          <w:color w:val="000000"/>
          <w:sz w:val="22"/>
        </w:rPr>
        <w:t xml:space="preserve">provided </w:t>
      </w:r>
      <w:r>
        <w:rPr>
          <w:rFonts w:ascii="Times New Roman" w:hAnsi="Times New Roman"/>
          <w:color w:val="000000"/>
          <w:sz w:val="22"/>
        </w:rPr>
        <w:t xml:space="preserve">that any such merger involving a Person that is not a wholly owned Subsidiary immediately prior to such merger shall not be permitted unless also permitted by </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pPr>
      <w:r>
        <w:rPr>
          <w:rFonts w:ascii="Times New Roman" w:hAnsi="Times New Roman"/>
          <w:color w:val="000000"/>
          <w:sz w:val="22"/>
        </w:rPr>
        <w:t xml:space="preserve">any Subsidiary may merge or consolidate with any other Person in order to effect an Investment permitted pursuant to </w:t>
      </w:r>
      <w:r>
        <w:rPr>
          <w:rFonts w:ascii="Times New Roman" w:hAnsi="Times New Roman"/>
          <w:color w:val="000000"/>
          <w:sz w:val="22"/>
          <w:u w:val="single"/>
        </w:rPr>
        <w:t>Section 6.04</w:t>
      </w:r>
      <w:r>
        <w:rPr>
          <w:rFonts w:ascii="Times New Roman" w:hAnsi="Times New Roman"/>
          <w:color w:val="000000"/>
          <w:sz w:val="22"/>
        </w:rPr>
        <w:t xml:space="preserve">; provided that (i) the continuing or surviving Person shall be a Subsidiary of the Borrower, which together with each of its Subsidiaries, shall have complied with the requirements of </w:t>
      </w:r>
      <w:r>
        <w:rPr>
          <w:rFonts w:ascii="Times New Roman" w:hAnsi="Times New Roman"/>
          <w:color w:val="000000"/>
          <w:sz w:val="22"/>
          <w:u w:val="single"/>
        </w:rPr>
        <w:t>Section 5.10</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5.11</w:t>
      </w:r>
      <w:r>
        <w:rPr>
          <w:color w:val="000000"/>
        </w:rPr>
        <w:t xml:space="preserve"> </w:t>
      </w:r>
      <w:r>
        <w:rPr>
          <w:rFonts w:ascii="Times New Roman" w:hAnsi="Times New Roman"/>
          <w:color w:val="000000"/>
          <w:sz w:val="22"/>
        </w:rPr>
        <w:t>to the extent required pursuant to the Collateral Documents, (ii) if a Loan Party is a party to such transaction, the surviving Person shall be a Loan Party and (iii) if the Borrower is party to such transaction, the surviving party shall be the Borrower; and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pPr>
      <w:r>
        <w:rPr>
          <w:rFonts w:ascii="Times New Roman" w:hAnsi="Times New Roman"/>
          <w:color w:val="000000"/>
          <w:sz w:val="22"/>
        </w:rPr>
        <w:t xml:space="preserve">a merger, dissolution, liquidation, consolidation or Disposition, the purpose of which is to effect a Disposition permitted pursuant to </w:t>
      </w:r>
      <w:r>
        <w:rPr>
          <w:rFonts w:ascii="Times New Roman" w:hAnsi="Times New Roman"/>
          <w:color w:val="000000"/>
          <w:sz w:val="22"/>
          <w:u w:val="single"/>
        </w:rPr>
        <w:t>Section 6.05</w:t>
      </w:r>
      <w:r>
        <w:rPr>
          <w:rFonts w:ascii="Times New Roman" w:hAnsi="Times New Roman"/>
          <w:color w:val="000000"/>
          <w:sz w:val="22"/>
        </w:rPr>
        <w:t xml:space="preserve">, a Permitted Acquisition or other Investments permitted by </w:t>
      </w:r>
      <w:r>
        <w:rPr>
          <w:rFonts w:ascii="Times New Roman" w:hAnsi="Times New Roman"/>
          <w:color w:val="000000"/>
          <w:sz w:val="22"/>
          <w:u w:val="single"/>
        </w:rPr>
        <w:t>Section 6.04</w:t>
      </w:r>
      <w:r>
        <w:rPr>
          <w:rFonts w:ascii="Times New Roman" w:hAnsi="Times New Roman"/>
          <w:color w:val="000000"/>
          <w:sz w:val="22"/>
        </w:rPr>
        <w:t>; provided that if the Borrower is party to such transaction, the surviving party shall be the Borrower.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Without limiting the foregoing, if any Loan Party that is a limited liability company consummates a Division (with or without the prior consent of the Administrative Agent as required above), each Division Successor shall be required to comply with the obligations set forth in </w:t>
      </w:r>
      <w:r>
        <w:rPr>
          <w:rFonts w:ascii="Times New Roman" w:hAnsi="Times New Roman"/>
          <w:color w:val="000000"/>
          <w:sz w:val="22"/>
          <w:u w:val="single"/>
        </w:rPr>
        <w:t>Section 5.10</w:t>
      </w:r>
      <w:r>
        <w:rPr>
          <w:color w:val="000000"/>
        </w:rPr>
        <w:t xml:space="preserve"> </w:t>
      </w:r>
      <w:r>
        <w:rPr>
          <w:rFonts w:ascii="Times New Roman" w:hAnsi="Times New Roman"/>
          <w:color w:val="000000"/>
          <w:sz w:val="22"/>
        </w:rPr>
        <w:t>and the other further assurances obligations set forth in the Loan Documents and become a Loan Party under this Agreement and the other Loan Documents.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Loan Party will, nor will any Loan Party permit its respective Subsidiaries to, engage to any material extent in any business other than businesses of the type engaged in by the Borrower and its Subsidiaries on the date hereof and businesses reasonably related thereto, ancillary, similar corollary, synergetic, complementary or reasonable extensions thereof (and non-core incidental businesses acquired in connection with any Permitted Acquisition or other permitted Investment).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11.04</w:t>
      </w:r>
    </w:p>
    <w:p>
      <w:pPr>
        <w:pStyle w:val="TextBody"/>
        <w:bidi w:val="0"/>
        <w:spacing w:before="0" w:after="240"/>
        <w:jc w:val="both"/>
        <w:rPr/>
      </w:pPr>
      <w:r>
        <w:rPr>
          <w:rFonts w:ascii="Times New Roman" w:hAnsi="Times New Roman"/>
          <w:color w:val="000000"/>
          <w:sz w:val="22"/>
          <w:u w:val="single"/>
        </w:rPr>
        <w:t>Investments, Loans, Advances, Guarantees and Acquisitions</w:t>
      </w:r>
      <w:r>
        <w:rPr>
          <w:rFonts w:ascii="Times New Roman" w:hAnsi="Times New Roman"/>
          <w:color w:val="000000"/>
          <w:sz w:val="22"/>
        </w:rPr>
        <w:t>. No Loan Party will, nor will any Loan Party permit its respective Subsidiaries to, purchase, hold or acquire (including pursuant to any merger with any Person that was not a Loan Party and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in, any other Person, or purchase or otherwise acquire (in one transaction or a series of transactions) any assets of any other Person constituting a business unit, division, product line or line of business of such Person (whether through purchase of assets, merger or otherwise) (each an “Investment”), except: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Permitted Investments;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Investments in existence on the date hereof (i) not in excess of $2,000,000 in the aggregate, (ii) described in </w:t>
      </w:r>
      <w:r>
        <w:rPr>
          <w:rFonts w:ascii="Times New Roman" w:hAnsi="Times New Roman"/>
          <w:color w:val="000000"/>
          <w:sz w:val="22"/>
          <w:u w:val="single"/>
        </w:rPr>
        <w:t>Schedule 6.04</w:t>
      </w:r>
      <w:r>
        <w:rPr>
          <w:color w:val="000000"/>
        </w:rPr>
        <w:t xml:space="preserve"> </w:t>
      </w:r>
      <w:r>
        <w:rPr>
          <w:rFonts w:ascii="Times New Roman" w:hAnsi="Times New Roman"/>
          <w:color w:val="000000"/>
          <w:sz w:val="22"/>
        </w:rPr>
        <w:t>and (iii) any extensions or amendments thereto not increasing the principal or capital amount, other than in respect of any fees, costs, accrued interest, and premiums incurred in connection therewith or on account of unused Commitments, described in clauses (i) and (ii) (unless otherwise permitted or made pursuant to legally binding written contracts in existence on the Effective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Investments by the Borrower and the Subsidiaries in their respective Subsidiaries, </w:t>
      </w:r>
      <w:r>
        <w:rPr>
          <w:rFonts w:ascii="Times New Roman" w:hAnsi="Times New Roman"/>
          <w:i/>
          <w:color w:val="000000"/>
          <w:sz w:val="22"/>
        </w:rPr>
        <w:t xml:space="preserve">provided </w:t>
      </w:r>
      <w:r>
        <w:rPr>
          <w:rFonts w:ascii="Times New Roman" w:hAnsi="Times New Roman"/>
          <w:color w:val="000000"/>
          <w:sz w:val="22"/>
        </w:rPr>
        <w:t xml:space="preserve">that (i) any such Equity Interests held by a Loan Party (other than Equity Interests in Immaterial Subsidiaries and Excluded Property) shall be pledged pursuant to the relevant Collateral Documents and (ii) the aggregate amount of Investments made pursuant to this clause (c) by Loan Parties in Subsidiaries that are not Loan Parties shall not exceed, when taken together with investments by Loan Parties in Subsidiaries that are not Loan Parties incurred pursuant to </w:t>
      </w:r>
      <w:r>
        <w:rPr>
          <w:rFonts w:ascii="Times New Roman" w:hAnsi="Times New Roman"/>
          <w:color w:val="000000"/>
          <w:sz w:val="22"/>
          <w:u w:val="single"/>
        </w:rPr>
        <w:t>Sections 6.04(d),</w:t>
      </w:r>
      <w:r>
        <w:rPr>
          <w:color w:val="000000"/>
        </w:rPr>
        <w:t xml:space="preserve"> </w:t>
      </w:r>
      <w:r>
        <w:rPr>
          <w:rFonts w:ascii="Times New Roman" w:hAnsi="Times New Roman"/>
          <w:color w:val="000000"/>
          <w:sz w:val="22"/>
        </w:rPr>
        <w:t>$5,000,000 outstanding at any time (in each case determined without regard to any write-downs or write-offs);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loans or advances made by a Loan Party to its officers, directors or employees on an arms-length basis in the ordinary course of business consistent with past practices for travel and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entertainment or education expenses, relocation costs and similar purposes up to a maximum of $2,000,000 in the aggregate at any one time outstanding;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notes payable, or stock or other securities issued by Account Debtors to a Loan Party pursuant to negotiated agreements with respect to settlement of such Account Debtor’s Accounts in the ordinary course of business, consistent with past practices;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by any Person existing on the date such Person is acquired as part of a Permitted Acquisition or other permitted Investments and not made in contemplation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extensions of trade credit or the holding of receivables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constituting deposits described in the definition of “Permitted Liens”;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pPr>
      <w:r>
        <w:rPr>
          <w:rFonts w:ascii="Times New Roman" w:hAnsi="Times New Roman"/>
          <w:color w:val="000000"/>
          <w:sz w:val="22"/>
        </w:rPr>
        <w:t xml:space="preserve">Investments in the form of Swap Agreements permitted by </w:t>
      </w:r>
      <w:r>
        <w:rPr>
          <w:rFonts w:ascii="Times New Roman" w:hAnsi="Times New Roman"/>
          <w:color w:val="000000"/>
          <w:sz w:val="22"/>
          <w:u w:val="single"/>
        </w:rPr>
        <w:t>Section 6.06</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pPr>
      <w:r>
        <w:rPr>
          <w:rFonts w:ascii="Times New Roman" w:hAnsi="Times New Roman"/>
          <w:color w:val="000000"/>
          <w:sz w:val="22"/>
        </w:rPr>
        <w:t xml:space="preserve">Guarantees constituting Indebtedness permitted by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constituting Permitted Acquisitions;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w:t>
      </w:r>
    </w:p>
    <w:p>
      <w:pPr>
        <w:pStyle w:val="TextBody"/>
        <w:bidi w:val="0"/>
        <w:spacing w:before="0" w:after="240"/>
        <w:jc w:val="both"/>
        <w:rPr/>
      </w:pPr>
      <w:r>
        <w:rPr>
          <w:rFonts w:ascii="Times New Roman" w:hAnsi="Times New Roman"/>
          <w:color w:val="000000"/>
          <w:sz w:val="22"/>
        </w:rPr>
        <w:t xml:space="preserve">in addition to Investments otherwise expressly permitted by this </w:t>
      </w:r>
      <w:r>
        <w:rPr>
          <w:rFonts w:ascii="Times New Roman" w:hAnsi="Times New Roman"/>
          <w:color w:val="000000"/>
          <w:sz w:val="22"/>
          <w:u w:val="single"/>
        </w:rPr>
        <w:t>Section 6.04</w:t>
      </w:r>
      <w:r>
        <w:rPr>
          <w:rFonts w:ascii="Times New Roman" w:hAnsi="Times New Roman"/>
          <w:color w:val="000000"/>
          <w:sz w:val="22"/>
        </w:rPr>
        <w:t xml:space="preserve">, investments by the Borrower or any of its Subsidiaries in an aggregate amount not to exceed at any time $15,000,000 </w:t>
      </w:r>
      <w:r>
        <w:rPr>
          <w:rFonts w:ascii="Times New Roman" w:hAnsi="Times New Roman"/>
          <w:i/>
          <w:color w:val="000000"/>
          <w:sz w:val="22"/>
        </w:rPr>
        <w:t>plus</w:t>
      </w:r>
      <w:r>
        <w:rPr>
          <w:color w:val="000000"/>
        </w:rPr>
        <w:t xml:space="preserve"> </w:t>
      </w:r>
      <w:r>
        <w:rPr>
          <w:rFonts w:ascii="Times New Roman" w:hAnsi="Times New Roman"/>
          <w:color w:val="000000"/>
          <w:sz w:val="22"/>
        </w:rPr>
        <w:t>the Cumulative Credit at such time;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w:t>
      </w:r>
    </w:p>
    <w:p>
      <w:pPr>
        <w:pStyle w:val="TextBody"/>
        <w:bidi w:val="0"/>
        <w:spacing w:before="0" w:after="240"/>
        <w:jc w:val="both"/>
        <w:rPr/>
      </w:pPr>
      <w:r>
        <w:rPr>
          <w:rFonts w:ascii="Times New Roman" w:hAnsi="Times New Roman"/>
          <w:color w:val="000000"/>
          <w:sz w:val="22"/>
        </w:rPr>
        <w:t>Investments received in connection with the disposition of assets, and to the extent resulting from or constituting Investments, Liens, Indebtedness and Restricted Payments permitted by</w:t>
      </w:r>
      <w:r>
        <w:rPr>
          <w:color w:val="000000"/>
          <w:u w:val="single"/>
        </w:rPr>
        <w:t xml:space="preserve"> </w:t>
      </w:r>
      <w:r>
        <w:rPr>
          <w:rFonts w:ascii="Times New Roman" w:hAnsi="Times New Roman"/>
          <w:color w:val="000000"/>
          <w:sz w:val="22"/>
          <w:u w:val="single"/>
        </w:rPr>
        <w:t>this Agreement</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advances of payroll payments to employees in the ordinary course of business and Investments made pursuant to employment and severance arrangements of officers and employees in the ordinary course of business and transactions pursuant to stock option plans and employee benefit plans and arrangements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constituting Investments, advances in respect of transfer pricing and cost-sharing arrangements (i.e., “cost-plus” arrangements) and associated “true-up” payments, in each case, that are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and its Subsidiaries may acquire and hold receivables and similar items owing to them in the ordinary course of business and payable or dischargeable in accordance with customary trade terms;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made in Excluded Subsidiaries and joint ventures in an amount not to exceed $10,000,000 in the aggregate per Fiscal Year; provided that, in each case, the Loan Parties shall have a minimum of $50,000,000 in Unrestricted Cash immediately after giving effect to such Investment;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[intentionally omitted];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(other than an Investment that would qualify as an Equity Financed Permitted Acquisition) to the extent that the consideration for such Investments solely consists of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the Qualified Equity Interests or cash proceeds of the Borrower </w:t>
      </w:r>
      <w:r>
        <w:rPr>
          <w:rFonts w:ascii="Times New Roman" w:hAnsi="Times New Roman"/>
          <w:i/>
          <w:color w:val="000000"/>
          <w:sz w:val="22"/>
        </w:rPr>
        <w:t>plus</w:t>
      </w:r>
      <w:r>
        <w:rPr>
          <w:color w:val="000000"/>
        </w:rPr>
        <w:t xml:space="preserve"> </w:t>
      </w:r>
      <w:r>
        <w:rPr>
          <w:rFonts w:ascii="Times New Roman" w:hAnsi="Times New Roman"/>
          <w:color w:val="000000"/>
          <w:sz w:val="22"/>
        </w:rPr>
        <w:t>the Cumulative Credit at such time;</w:t>
      </w:r>
      <w:r>
        <w:rPr>
          <w:color w:val="000000"/>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(u)</w:t>
      </w:r>
    </w:p>
    <w:p>
      <w:pPr>
        <w:pStyle w:val="TextBody"/>
        <w:bidi w:val="0"/>
        <w:spacing w:before="0" w:after="240"/>
        <w:jc w:val="both"/>
        <w:rPr/>
      </w:pPr>
      <w:r>
        <w:rPr>
          <w:rFonts w:ascii="Times New Roman" w:hAnsi="Times New Roman"/>
          <w:color w:val="000000"/>
          <w:sz w:val="22"/>
        </w:rPr>
        <w:t xml:space="preserve">Investments in Swap Agreements permitted under </w:t>
      </w:r>
      <w:r>
        <w:rPr>
          <w:rFonts w:ascii="Times New Roman" w:hAnsi="Times New Roman"/>
          <w:color w:val="000000"/>
          <w:sz w:val="22"/>
          <w:u w:val="single"/>
        </w:rPr>
        <w:t>Section 6.01(aa)</w:t>
      </w:r>
      <w:r>
        <w:rPr>
          <w:color w:val="000000"/>
        </w:rPr>
        <w:t xml:space="preserve"> </w:t>
      </w:r>
      <w:r>
        <w:rPr>
          <w:rFonts w:ascii="Times New Roman" w:hAnsi="Times New Roman"/>
          <w:color w:val="000000"/>
          <w:sz w:val="22"/>
        </w:rPr>
        <w:t>and Banking Services Obligations;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in the ordinary course of business consisting of UCC Article 3 endorsements for collection or deposit and UCC Article 4 customary trade arrangements with customers consistent with past practices;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licensing or contribution of intellectual property rights in the ordinary course of business, which is not otherwise restricted under the Loan Documents;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in deposit accounts, commodities and securities accounts opened in the ordinary course of business;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guarantees by the Borrower or any of its Subsidiaries of leases (other than Capital Lease Obligations), contracts or of other obligations of the Borrower or any Subsidiary that do not constitute Indebtedness, in each case, entered into in the ordinary course of business;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additional Investments; provided, that the Borrower and its Subsidiaries have positive Consolidated EBITDA on a pro forma basis (as of the Test Period then most recently ended) and after giving Pro Forma Effect to such Investments, the Consolidated First Lien Net Leverage Ratio is equal to or less than 2.00 to 1.00;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asset purchases (including purchases of inventory, supplies and materials) in the ordinary course of business (or in connection with a commercial transaction that is entered into in the ordinary course of business);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constituting Permitted Liens or Permitted Dispositions.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11.05</w:t>
      </w:r>
    </w:p>
    <w:p>
      <w:pPr>
        <w:pStyle w:val="TextBody"/>
        <w:bidi w:val="0"/>
        <w:spacing w:before="0" w:after="240"/>
        <w:jc w:val="both"/>
        <w:rPr/>
      </w:pPr>
      <w:r>
        <w:rPr>
          <w:rFonts w:ascii="Times New Roman" w:hAnsi="Times New Roman"/>
          <w:color w:val="000000"/>
          <w:sz w:val="22"/>
          <w:u w:val="single"/>
        </w:rPr>
        <w:t>Asset Sales</w:t>
      </w:r>
      <w:r>
        <w:rPr>
          <w:rFonts w:ascii="Times New Roman" w:hAnsi="Times New Roman"/>
          <w:color w:val="000000"/>
          <w:sz w:val="22"/>
        </w:rPr>
        <w:t xml:space="preserve">. No Loan Party will, nor will any Loan Party permit its respective Subsidiaries to, Dispose of any asset, including any Equity Interest owned by it, except: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(i) obsolete, negligible, worn out, used or surplus property, whether now owned or hereafter acquired, in the ordinary course of business and (ii) property (including any leasehold property interest) that is no longer (x) economically practical in its business, (y) commercially desirable or commercially reasonable to maintain or (z) used or useful in the conduct of the business of the Borrower or any of its Subsidiaries;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assets from one Loan Party to another Loan Party;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Accounts (excluding sales or dispositions in a factoring arrangement) in connection with the compromise, settlement or collection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cash and Permitted Investments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resulting from any casualty or other insured damage to, or any taking under power of eminent domain or by condemnation or similar proceeding of, any property or asset of the Borrower or any Subsidiary;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assets by any Subsidiary that is not a Loan Party to a Loan Party or to a Subsidiary that is not a Loan Party;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rPr>
        <w:t xml:space="preserve">Dispositions constituting Liens permitted under </w:t>
      </w:r>
      <w:r>
        <w:rPr>
          <w:rFonts w:ascii="Times New Roman" w:hAnsi="Times New Roman"/>
          <w:color w:val="000000"/>
          <w:sz w:val="22"/>
          <w:u w:val="single"/>
        </w:rPr>
        <w:t>Section 6.02</w:t>
      </w:r>
      <w:r>
        <w:rPr>
          <w:rFonts w:ascii="Times New Roman" w:hAnsi="Times New Roman"/>
          <w:color w:val="000000"/>
          <w:sz w:val="22"/>
        </w:rPr>
        <w:t xml:space="preserve">, Dispositions permitted under </w:t>
        <w:br/>
      </w:r>
      <w:r>
        <w:rPr>
          <w:rFonts w:ascii="Times New Roman" w:hAnsi="Times New Roman"/>
          <w:color w:val="000000"/>
          <w:sz w:val="22"/>
          <w:u w:val="single"/>
        </w:rPr>
        <w:t>Section 6.03</w:t>
      </w:r>
      <w:r>
        <w:rPr>
          <w:rFonts w:ascii="Times New Roman" w:hAnsi="Times New Roman"/>
          <w:color w:val="000000"/>
          <w:sz w:val="22"/>
        </w:rPr>
        <w:t xml:space="preserve">, Investments permitted under </w:t>
      </w:r>
      <w:r>
        <w:rPr>
          <w:rFonts w:ascii="Times New Roman" w:hAnsi="Times New Roman"/>
          <w:color w:val="000000"/>
          <w:sz w:val="22"/>
          <w:u w:val="single"/>
        </w:rPr>
        <w:t>Section 6.04</w:t>
      </w:r>
      <w:r>
        <w:rPr>
          <w:color w:val="000000"/>
        </w:rPr>
        <w:t xml:space="preserve"> </w:t>
      </w:r>
      <w:r>
        <w:rPr>
          <w:rFonts w:ascii="Times New Roman" w:hAnsi="Times New Roman"/>
          <w:color w:val="000000"/>
          <w:sz w:val="22"/>
        </w:rPr>
        <w:t xml:space="preserve">or Restricted Payments permitted under </w:t>
      </w:r>
      <w:r>
        <w:rPr>
          <w:rFonts w:ascii="Times New Roman" w:hAnsi="Times New Roman"/>
          <w:color w:val="000000"/>
          <w:sz w:val="22"/>
          <w:u w:val="single"/>
        </w:rPr>
        <w:t>Section 6.07</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Intellectual Property (i) that is, in the reasonable judgment of the Borrower, no longer economically practicable to maintain or useful or material to in the conduct of the business of the Borrower and the Subsidiaries, taken as a whole, (ii) in the ordinary course of business, or (iii) to a third party where such Intellectual Property was developed in connection with any commercial arrangement that is entered into in the ordinary course of business by a Loan Party or Subsidiary thereof with such third party (including any such co- or joint-development or research agreements) and pursuant to such commercial arrangement (x) the Loan Party or Subsidiary and such third party agree (which agreement was made in their respective reasonable business judgment) that such Intellectual Property will be jointly-owned by the Loan Party or Subsidiary and such third party, (y) such Intellectual Property is related to or an improvement, derivative, or the like of such third party’s or any of its Affiliates’ pre-existing or background Intellectual Property, or (z) as between such third party and such Loan Party or Subsidiary, such Intellectual Property primarily relates to the business of such third party and its Affiliates;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non-core assets acquired in a Permitted Acquisition or Dispositions required to obtain antitrust approval of a Permitted Acquisition or other Investment;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licenses or sublicenses of Intellectual Property rights granted by Borrower or its Subsidiaries in the ordinary course of business (or in connection with a commercial agreement entered into in the ordinary course of business) or not interfering in any material respect with the ordinary conduct of the business of the Borrower or such Subsidiary;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w:t>
      </w:r>
    </w:p>
    <w:p>
      <w:pPr>
        <w:pStyle w:val="TextBody"/>
        <w:bidi w:val="0"/>
        <w:spacing w:before="0" w:after="240"/>
        <w:jc w:val="both"/>
        <w:rPr/>
      </w:pPr>
      <w:r>
        <w:rPr>
          <w:rFonts w:ascii="Times New Roman" w:hAnsi="Times New Roman"/>
          <w:color w:val="000000"/>
          <w:sz w:val="22"/>
        </w:rPr>
        <w:t xml:space="preserve">Dispositions of assets that are not permitted by any other clause of this </w:t>
      </w:r>
      <w:r>
        <w:rPr>
          <w:rFonts w:ascii="Times New Roman" w:hAnsi="Times New Roman"/>
          <w:color w:val="000000"/>
          <w:sz w:val="22"/>
          <w:u w:val="single"/>
        </w:rPr>
        <w:t>Section 6.05</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the aggregate fair market value of all assets Disposed of in reliance upon this paragraph (l) shall not exceed $3,000,000 in any fiscal year; provided that, all Dispositions pursuant to </w:t>
      </w:r>
      <w:r>
        <w:rPr>
          <w:rFonts w:ascii="Times New Roman" w:hAnsi="Times New Roman"/>
          <w:color w:val="000000"/>
          <w:sz w:val="22"/>
          <w:u w:val="single"/>
        </w:rPr>
        <w:t>Section 6.05(l)</w:t>
      </w:r>
      <w:r>
        <w:rPr>
          <w:color w:val="000000"/>
        </w:rPr>
        <w:t xml:space="preserve"> </w:t>
      </w:r>
      <w:r>
        <w:rPr>
          <w:rFonts w:ascii="Times New Roman" w:hAnsi="Times New Roman"/>
          <w:color w:val="000000"/>
          <w:sz w:val="22"/>
        </w:rPr>
        <w:t>shall be made for fair value and at least 75% of the consideration from such Disposition received by any Loan Party or Subsidiary, as applicable, shall be in the form of cash or Permitted Investments;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[intentionally omitted];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w:t>
      </w:r>
    </w:p>
    <w:p>
      <w:pPr>
        <w:pStyle w:val="TextBody"/>
        <w:bidi w:val="0"/>
        <w:spacing w:before="0" w:after="240"/>
        <w:jc w:val="both"/>
        <w:rPr/>
      </w:pPr>
      <w:r>
        <w:rPr>
          <w:rFonts w:ascii="Times New Roman" w:hAnsi="Times New Roman"/>
          <w:color w:val="000000"/>
          <w:sz w:val="22"/>
        </w:rPr>
        <w:t xml:space="preserve">sales, transfers or other Dispositions of Investments in joint ventures permitted under </w:t>
      </w:r>
      <w:r>
        <w:rPr>
          <w:rFonts w:ascii="Times New Roman" w:hAnsi="Times New Roman"/>
          <w:color w:val="000000"/>
          <w:sz w:val="22"/>
          <w:u w:val="single"/>
        </w:rPr>
        <w:t>Section 6.04(r)</w:t>
      </w:r>
      <w:r>
        <w:rPr>
          <w:color w:val="000000"/>
        </w:rPr>
        <w:t xml:space="preserve"> </w:t>
      </w:r>
      <w:r>
        <w:rPr>
          <w:rFonts w:ascii="Times New Roman" w:hAnsi="Times New Roman"/>
          <w:color w:val="000000"/>
          <w:sz w:val="22"/>
        </w:rPr>
        <w:t>to the extent required by, or made pursuant to customary buy/sell arrangements between, the parties set forth in joint venture arrangements and similar binding agreements (and not included in such joint venture arrangements and similar binding agreements in contemplation of such sale, transfer or other Disposition);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assets, including inventory and goods held for sale, in the ordinary course of business and immaterial assets (including termination of leases and licenses in the ordinary course of business, and a voluntary or mandatory recall of any product);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w:t>
      </w:r>
    </w:p>
    <w:p>
      <w:pPr>
        <w:pStyle w:val="TextBody"/>
        <w:bidi w:val="0"/>
        <w:spacing w:before="0" w:after="240"/>
        <w:jc w:val="both"/>
        <w:rPr/>
      </w:pPr>
      <w:r>
        <w:rPr>
          <w:rFonts w:ascii="Times New Roman" w:hAnsi="Times New Roman"/>
          <w:color w:val="000000"/>
          <w:sz w:val="22"/>
        </w:rPr>
        <w:t xml:space="preserve">Dispositions of property pursuant to sale and leaseback transactions, including those contemplated on the Effective Date and included on </w:t>
      </w:r>
      <w:r>
        <w:rPr>
          <w:rFonts w:ascii="Times New Roman" w:hAnsi="Times New Roman"/>
          <w:color w:val="000000"/>
          <w:sz w:val="22"/>
          <w:u w:val="single"/>
        </w:rPr>
        <w:t>Schedule 6.05</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Dispositions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assets not constituting Collateral in an aggregate amount not to exceed $15,000,000 in any fiscal year;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and any Subsidiary may (i) convert any intercompany Indebtedness to Equity Interests otherwise permitted hereunder, (ii) discount, write off, forgive or cancel any intercompany Indebtedness or other obligation owing by the Borrower or any other Loan Party to a Subsidiary that is not, in each case, a Loan Party or to another Loan Party, (iii) settle, discount, write-off, forgive or cancel any Indebtedness owing by any present or former consultants, managers, directors, officers, employees of the Borrower or any Subsidiary or any of their successors or assigns, in the ordinary course of business, or (iv) surrender or waive contractual rights and settle, release, surrender or waive contractual or litigation claims, in the case of clause (iv), in the ordinary course of business;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allowable under Section 1031 of the Code, or any comparable or successor provision, any exchange of like property (excluding any boot thereon) for use in a similar business;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(u)</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swap of assets in exchange for services or other assets in the ordinary course of business of comparable or greater value or usefulness to the business of the Borrower and its Subsidiaries as a whole, as determined in good faith by the management of the Borrower, in an aggregate amount not to exceed $15,000,000.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 other provision contained herein, for all purposes of this Agreement and the other Loan Documents, all licenses, sublicenses, or other rights granted by Borrower or any of its Subsidiaries prior to the date hereof in connection with any Intellectual Property Rights (together with any other rights or obligations (including sales, assignments, conveyances, transfers, licenses, sublicenses, or other dispositions) (x) granted in connection with the foregoing prior to the date hereof or (y) required to be granted, or otherwise exercisable in connection with, the foregoing prior to or following the date hereof) shall be deemed, as applicable, a permitted Disposition pursuant to this </w:t>
      </w:r>
      <w:r>
        <w:rPr>
          <w:rFonts w:ascii="Times New Roman" w:hAnsi="Times New Roman"/>
          <w:color w:val="000000"/>
          <w:sz w:val="22"/>
          <w:u w:val="single"/>
        </w:rPr>
        <w:t>Section 6.05</w:t>
      </w:r>
      <w:r>
        <w:rPr>
          <w:rFonts w:ascii="Times New Roman" w:hAnsi="Times New Roman"/>
          <w:color w:val="000000"/>
          <w:sz w:val="20"/>
        </w:rPr>
        <w:t xml:space="preserve"> </w:t>
      </w:r>
      <w:r>
        <w:rPr>
          <w:rFonts w:ascii="Times New Roman" w:hAnsi="Times New Roman"/>
          <w:color w:val="000000"/>
          <w:sz w:val="22"/>
        </w:rPr>
        <w:t>and Permitted Liens.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11.06</w:t>
      </w:r>
    </w:p>
    <w:p>
      <w:pPr>
        <w:pStyle w:val="TextBody"/>
        <w:bidi w:val="0"/>
        <w:spacing w:before="0" w:after="240"/>
        <w:jc w:val="both"/>
        <w:rPr/>
      </w:pPr>
      <w:r>
        <w:rPr>
          <w:rFonts w:ascii="Times New Roman" w:hAnsi="Times New Roman"/>
          <w:color w:val="000000"/>
          <w:sz w:val="22"/>
          <w:u w:val="single"/>
        </w:rPr>
        <w:t>Swap Agreements</w:t>
      </w:r>
      <w:r>
        <w:rPr>
          <w:rFonts w:ascii="Times New Roman" w:hAnsi="Times New Roman"/>
          <w:color w:val="000000"/>
          <w:sz w:val="22"/>
        </w:rPr>
        <w:t>. Neither the Borrower nor any Subsidiary will enter into any Swap Agreement for speculative purposes.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11.07</w:t>
      </w:r>
    </w:p>
    <w:p>
      <w:pPr>
        <w:pStyle w:val="TextBody"/>
        <w:bidi w:val="0"/>
        <w:spacing w:before="0" w:after="240"/>
        <w:jc w:val="both"/>
        <w:rPr/>
      </w:pPr>
      <w:r>
        <w:rPr>
          <w:rFonts w:ascii="Times New Roman" w:hAnsi="Times New Roman"/>
          <w:color w:val="000000"/>
          <w:sz w:val="22"/>
          <w:u w:val="single"/>
        </w:rPr>
        <w:t>Restricted Payments; Certain Payments of Indebtedness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Loan Party will, nor will any Loan Party permit its respective Subsidiaries to, declare or make, any Restricted Payment, except: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Subsidiary may declare and pay dividends or make other Restricted Payments with respect to its common stock payable solely in additional shares of its common stock, and, with respect to its preferred stock, payable solely in additional shares of such preferred stock or in shares of its common stock,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Subsidiaries may declare and pay dividends ratably with respect to their Equity Interests,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So long as no Event of Default has occurred and is continuing or would arise after giving effect (including giving effect on a pro forma basis) thereto, the Borrower and each Subsidiary may (i) pay (or make Restricted Payments to allow Borrower or any other direct or indirect parent thereof to pay) for the repurchase, retirement or other acquisition or retirement for value of Equity Interests of such Subsidiary (or of the Borrower or any other such direct or indirect parent thereof) held by any future, present or former employee, officer, director, manager or consultant (or any spouses, former spouses, parents, grandparents (or otherwise related), successors, executors, administrators, heirs, testamentary trustees, legatees or distributes of any of the foregoing) of such Subsidiary (or the Borrower or any other direct or indirect parent thereof) or any of its Subsidiaries or (ii) make Restricted Payments in the form of distributions to allow Borrower or any direct or indirect parent of Borrower to pay principal or interest on promissory notes that were issued to any future, present or former employee, officer, director, manager or consultant (or any spouses, former spouses, parents, grandparents (or otherwise related), successors, executors, administrators, heirs, testamentary trustees, legatees or distributes of any of the foregoing) of such Subsidiary (or the Borrower or any other direct or indirect parent thereof) in lieu of cash payments for the repurchase, retirement or other acquisition or retirement for value of such Equity Interests held by such Persons; provided that the aggregate amount of Restricted Payments made pursuant to this </w:t>
      </w:r>
      <w:r>
        <w:rPr>
          <w:rFonts w:ascii="Times New Roman" w:hAnsi="Times New Roman"/>
          <w:color w:val="000000"/>
          <w:sz w:val="22"/>
          <w:u w:val="single"/>
        </w:rPr>
        <w:t>Section 6.07(a)(iii)</w:t>
      </w:r>
      <w:r>
        <w:rPr>
          <w:color w:val="000000"/>
        </w:rPr>
        <w:t xml:space="preserve"> </w:t>
      </w:r>
      <w:r>
        <w:rPr>
          <w:rFonts w:ascii="Times New Roman" w:hAnsi="Times New Roman"/>
          <w:color w:val="000000"/>
          <w:sz w:val="22"/>
        </w:rPr>
        <w:t>shall not exceed (x) $5,000,000 in the aggregate or (y) solely to the extent that Liquidity immediately prior to such purchase of Equity Interests and after giving pro forma effect to the purchase of such Equity Interests is equal to or greater than $250,000,000, $10,000,000 in the aggregate; provided, further, that such amount in any calendar year may further be increased by an amount not to exceed the sum 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amounts used to increase the Cumulative Credit pursuant to</w:t>
      </w:r>
      <w:r>
        <w:rPr>
          <w:color w:val="000000"/>
          <w:u w:val="single"/>
        </w:rPr>
        <w:t xml:space="preserve">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and clause </w:t>
      </w:r>
      <w:r>
        <w:rPr>
          <w:rFonts w:ascii="Times New Roman" w:hAnsi="Times New Roman"/>
          <w:color w:val="000000"/>
          <w:sz w:val="22"/>
          <w:u w:val="single"/>
        </w:rPr>
        <w:t>(d)</w:t>
      </w:r>
      <w:r>
        <w:rPr>
          <w:color w:val="000000"/>
        </w:rPr>
        <w:t xml:space="preserve"> </w:t>
      </w:r>
      <w:r>
        <w:rPr>
          <w:rFonts w:ascii="Times New Roman" w:hAnsi="Times New Roman"/>
          <w:color w:val="000000"/>
          <w:sz w:val="22"/>
        </w:rPr>
        <w:t>of the definition of “Cumulative Credit”;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net proceeds of key man life insurance policies received by the Borrower or its Subsidiaries less the amount of Restricted Payments previously made with the cash proceeds of such key man life insurance policies; provided that such proceeds are used solely to repurchase Equity Interests held by the employee (or any of his or her successors or assigns, including any family trusts) that is the subject of such key man life insurance;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further, that cancellation of Indebtedness owing to the Borrower from members of management of the Borrower, any of the Borrower’s direct or indirect parent companies or any of the Borrower’s Subsidiaries in connection with a repurchase of Equity Interests of any of the Borrower’s direct or indirect parent companies will not be deemed to constitute a Restricted Payment for purposes of this covenant or any other provision of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Loan Parties may make Restricted Payments pursuant to and in accordance with stock option plans, warrants if such Equity Interests represent a portion of the exercise price of such options or warrants, or other benefit plans for management or employees of the Borrower and its Subsidiaries in the ordinary course of business and consistent with past practice,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Tax Distributions may be paid annually or in multiple installments, based on the Borrower’s good-faith and reasonable estimate of the amount of Tax Distributions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any such year or period, with any over-distribution to reduce any subsequent Tax Distribution dollar for dollar,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both"/>
        <w:rPr/>
      </w:pPr>
      <w:r>
        <w:rPr>
          <w:rFonts w:ascii="Times New Roman" w:hAnsi="Times New Roman"/>
          <w:color w:val="000000"/>
          <w:sz w:val="22"/>
        </w:rPr>
        <w:t xml:space="preserve">Restricted Payments in an aggregate amount not to exceed the Cumulative Credit at such time; provided that solely with respect to amounts used to increase the Cumulative Credit pursuant to clauses (a) and (b), in each case, of the definition of “Cumulative Credit”, (x) no Event of Default has occurred and is continuing or would result therefrom and (y) on a </w:t>
      </w:r>
      <w:r>
        <w:rPr>
          <w:rFonts w:ascii="Times New Roman" w:hAnsi="Times New Roman"/>
          <w:i/>
          <w:color w:val="000000"/>
          <w:sz w:val="22"/>
        </w:rPr>
        <w:t xml:space="preserve">pro forma </w:t>
      </w:r>
      <w:r>
        <w:rPr>
          <w:rFonts w:ascii="Times New Roman" w:hAnsi="Times New Roman"/>
          <w:color w:val="000000"/>
          <w:sz w:val="22"/>
        </w:rPr>
        <w:t xml:space="preserve">basis the Borrower and its Subsidiaries are in compliance with the financial covenants set forth in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for the four fiscal quarters ended immediately prior to the proposed date of such Restricted Payment;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Restricted Payments made (i) to consummate the IPO and the Transactions, (ii) in respect of working capital adjustments or purchase price adjustments and any other payment required pursuant to any Permitted Acquisition or other permitted Investments, (iii) in order to satisfy indemnity and other similar obligations under any Permitted Acquisition or other permitted Investments and (iv) to holders of Equity Interests of the Borrower in connection with, or as a result of, their exercise of appraisal rights and the settlement of any claims or actions (whether actual, contingent or potential) with respect thereto;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both"/>
        <w:rPr/>
      </w:pPr>
      <w:r>
        <w:rPr>
          <w:rFonts w:ascii="Times New Roman" w:hAnsi="Times New Roman"/>
          <w:color w:val="000000"/>
          <w:sz w:val="22"/>
        </w:rPr>
        <w:t xml:space="preserve">to the extent constituting Restricted Payments, the Borrower and its Subsidiaries may enter into and consummate transactions permitted by any provision of </w:t>
      </w:r>
      <w:r>
        <w:rPr>
          <w:rFonts w:ascii="Times New Roman" w:hAnsi="Times New Roman"/>
          <w:color w:val="000000"/>
          <w:sz w:val="22"/>
          <w:u w:val="single"/>
        </w:rPr>
        <w:t>Sections 6.03</w:t>
      </w:r>
      <w:r>
        <w:rPr>
          <w:rFonts w:ascii="Times New Roman" w:hAnsi="Times New Roman"/>
          <w:color w:val="000000"/>
          <w:sz w:val="22"/>
        </w:rPr>
        <w:t xml:space="preserve">, </w:t>
      </w:r>
      <w:r>
        <w:rPr>
          <w:rFonts w:ascii="Times New Roman" w:hAnsi="Times New Roman"/>
          <w:color w:val="000000"/>
          <w:sz w:val="22"/>
          <w:u w:val="single"/>
        </w:rPr>
        <w:t>6.04</w:t>
      </w:r>
      <w:r>
        <w:rPr>
          <w:rFonts w:ascii="Times New Roman" w:hAnsi="Times New Roman"/>
          <w:color w:val="000000"/>
          <w:sz w:val="22"/>
        </w:rPr>
        <w:t xml:space="preserve">, and </w:t>
      </w:r>
      <w:r>
        <w:rPr>
          <w:rFonts w:ascii="Times New Roman" w:hAnsi="Times New Roman"/>
          <w:color w:val="000000"/>
          <w:sz w:val="22"/>
          <w:u w:val="single"/>
        </w:rPr>
        <w:t>6.05</w:t>
      </w:r>
      <w:r>
        <w:rPr>
          <w:color w:val="000000"/>
        </w:rPr>
        <w:t xml:space="preserve"> </w:t>
      </w:r>
      <w:r>
        <w:rPr>
          <w:rFonts w:ascii="Times New Roman" w:hAnsi="Times New Roman"/>
          <w:color w:val="000000"/>
          <w:sz w:val="22"/>
        </w:rPr>
        <w:t>(other than</w:t>
      </w:r>
      <w:r>
        <w:rPr>
          <w:color w:val="000000"/>
          <w:u w:val="single"/>
        </w:rPr>
        <w:t xml:space="preserve"> </w:t>
      </w:r>
      <w:r>
        <w:rPr>
          <w:rFonts w:ascii="Times New Roman" w:hAnsi="Times New Roman"/>
          <w:color w:val="000000"/>
          <w:sz w:val="22"/>
          <w:u w:val="single"/>
        </w:rPr>
        <w:t>6.05(g</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or any of the Subsidiaries may pay cash in lieu of fractional Equity Interests in connection with any dividend, split or combination thereof or any Permitted Acquisition or other permitted Investment;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(xii)</w:t>
      </w:r>
    </w:p>
    <w:p>
      <w:pPr>
        <w:pStyle w:val="TextBody"/>
        <w:bidi w:val="0"/>
        <w:spacing w:before="0" w:after="240"/>
        <w:jc w:val="both"/>
        <w:rPr/>
      </w:pPr>
      <w:r>
        <w:rPr>
          <w:rFonts w:ascii="Times New Roman" w:hAnsi="Times New Roman"/>
          <w:color w:val="000000"/>
          <w:sz w:val="22"/>
        </w:rPr>
        <w:t xml:space="preserve">the payment of any Restricted Payment within 60 days after the date of declaration thereof, if at the date of declaration or the giving of such notice such payment would have complied with the provisions of this </w:t>
      </w:r>
      <w:r>
        <w:rPr>
          <w:rFonts w:ascii="Times New Roman" w:hAnsi="Times New Roman"/>
          <w:color w:val="000000"/>
          <w:sz w:val="22"/>
          <w:u w:val="single"/>
        </w:rPr>
        <w:t>Section 6.07</w:t>
      </w:r>
      <w:r>
        <w:rPr>
          <w:rFonts w:ascii="Times New Roman" w:hAnsi="Times New Roman"/>
          <w:color w:val="000000"/>
          <w:sz w:val="22"/>
        </w:rPr>
        <w:t>; provided that the making of such Restricted Payment will reduce capacity for Restricted Payments pursuant to such other provision when so made;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(xiii)</w:t>
      </w:r>
    </w:p>
    <w:p>
      <w:pPr>
        <w:pStyle w:val="TextBody"/>
        <w:bidi w:val="0"/>
        <w:spacing w:before="0" w:after="240"/>
        <w:jc w:val="both"/>
        <w:rPr/>
      </w:pPr>
      <w:r>
        <w:rPr>
          <w:rFonts w:ascii="Times New Roman" w:hAnsi="Times New Roman"/>
          <w:color w:val="000000"/>
          <w:sz w:val="22"/>
        </w:rPr>
        <w:t xml:space="preserve">any Restricted Payment in the minimum amount necessary to prevent any Indebtedness of the Borrower and its Subsidiaries permitted under </w:t>
      </w:r>
      <w:r>
        <w:rPr>
          <w:rFonts w:ascii="Times New Roman" w:hAnsi="Times New Roman"/>
          <w:color w:val="000000"/>
          <w:sz w:val="22"/>
          <w:u w:val="single"/>
        </w:rPr>
        <w:t>Section 6.01</w:t>
      </w:r>
      <w:r>
        <w:rPr>
          <w:color w:val="000000"/>
        </w:rPr>
        <w:t xml:space="preserve"> </w:t>
      </w:r>
      <w:r>
        <w:rPr>
          <w:rFonts w:ascii="Times New Roman" w:hAnsi="Times New Roman"/>
          <w:color w:val="000000"/>
          <w:sz w:val="22"/>
        </w:rPr>
        <w:t xml:space="preserve">from being treated as an “applicable high yield discount obligation” within the meaning of Section 163(i)(1) of the Code;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Restricted Payment in an amount not to exceed $15,000,000;</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w:t>
      </w:r>
    </w:p>
    <w:p>
      <w:pPr>
        <w:pStyle w:val="TextBody"/>
        <w:bidi w:val="0"/>
        <w:spacing w:before="0" w:after="240"/>
        <w:jc w:val="both"/>
        <w:rPr/>
      </w:pPr>
      <w:r>
        <w:rPr>
          <w:rFonts w:ascii="Times New Roman" w:hAnsi="Times New Roman"/>
          <w:color w:val="000000"/>
          <w:sz w:val="22"/>
        </w:rPr>
        <w:t xml:space="preserve">the refinancing of any Junior Indebtedness with any Junior Indebtedness </w:t>
        <w:br/>
        <w:t xml:space="preserve">permitted by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conversion or exchange of any Junior Indebtedness to Equity Interests (other than Disqualified Equity Interests) of the Borrower or any direct or indirect parent entity thereof;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prepayment, redemption, purchase, defeasement or satisfaction of Indebtedness of the Borrower or any Subsidiary to the Borrower or any Subsidiary;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(xviii)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unlimited Restricted Payments, provided, that (i) no Event of Default shall have occurred and be continuing immediately prior to, or shall result from, such Restricted Payment (subject to the Limited Condition Transaction provisions) and (ii) after giving Pro Forma Effect to such Restricted Payments the Consolidated First Lien Net Leverage Ratio is equal to or less than 2.00 to 1.00 as of the most recently ended Test Period.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11.08</w:t>
      </w:r>
    </w:p>
    <w:p>
      <w:pPr>
        <w:pStyle w:val="TextBody"/>
        <w:bidi w:val="0"/>
        <w:spacing w:before="0" w:after="240"/>
        <w:jc w:val="both"/>
        <w:rPr/>
      </w:pPr>
      <w:r>
        <w:rPr>
          <w:rFonts w:ascii="Times New Roman" w:hAnsi="Times New Roman"/>
          <w:color w:val="000000"/>
          <w:sz w:val="22"/>
          <w:u w:val="single"/>
        </w:rPr>
        <w:t>[Reserved]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11.09</w:t>
      </w:r>
    </w:p>
    <w:p>
      <w:pPr>
        <w:pStyle w:val="TextBody"/>
        <w:bidi w:val="0"/>
        <w:spacing w:before="0" w:after="240"/>
        <w:jc w:val="both"/>
        <w:rPr/>
      </w:pPr>
      <w:r>
        <w:rPr>
          <w:rFonts w:ascii="Times New Roman" w:hAnsi="Times New Roman"/>
          <w:color w:val="000000"/>
          <w:sz w:val="22"/>
          <w:u w:val="single"/>
        </w:rPr>
        <w:t>Restrictive Agreements</w:t>
      </w:r>
      <w:r>
        <w:rPr>
          <w:rFonts w:ascii="Times New Roman" w:hAnsi="Times New Roman"/>
          <w:color w:val="000000"/>
          <w:sz w:val="22"/>
        </w:rPr>
        <w:t xml:space="preserve">. No Loan Party will, nor will any Loan Party permit its respective Subsidiaries to enter into any agreement that prohibits, restricts or imposes any condition upon (a) the ability of such Loan Party or any Subsidiary to create, incur or permit to exist any Lien upon any of its property or assets to secure the Obligations, or (b) the ability of any Subsidiary to pay dividends or other distributions with respect to any Equity Interests or to make or repay loans or advances to the Borrower or any other Subsidiary or to Guarantee Indebtedness of the Borrower or any other Subsidiary; </w:t>
      </w:r>
      <w:r>
        <w:rPr>
          <w:rFonts w:ascii="Times New Roman" w:hAnsi="Times New Roman"/>
          <w:i/>
          <w:color w:val="000000"/>
          <w:sz w:val="22"/>
        </w:rPr>
        <w:t xml:space="preserve">provided </w:t>
      </w:r>
      <w:r>
        <w:rPr>
          <w:rFonts w:ascii="Times New Roman" w:hAnsi="Times New Roman"/>
          <w:color w:val="000000"/>
          <w:sz w:val="22"/>
        </w:rPr>
        <w:t xml:space="preserve">that (i) the foregoing shall not apply to (A) restrictions and conditions imposed by law or by any Loan Document, (B) restrictions and conditions existing on the date hereof identified on </w:t>
      </w:r>
      <w:r>
        <w:rPr>
          <w:rFonts w:ascii="Times New Roman" w:hAnsi="Times New Roman"/>
          <w:color w:val="000000"/>
          <w:sz w:val="22"/>
          <w:u w:val="single"/>
        </w:rPr>
        <w:t>Schedule 6.09</w:t>
      </w:r>
      <w:r>
        <w:rPr>
          <w:color w:val="000000"/>
        </w:rPr>
        <w:t xml:space="preserve"> </w:t>
      </w:r>
      <w:r>
        <w:rPr>
          <w:rFonts w:ascii="Times New Roman" w:hAnsi="Times New Roman"/>
          <w:color w:val="000000"/>
          <w:sz w:val="22"/>
        </w:rPr>
        <w:t xml:space="preserve">and any amendments or modifications thereof that do not materially expand the scope of any such restriction or condition (as determined in good faith by the Borrower) taken as a whole, (C) restrictions and conditions imposed by agreements relating to Indebtedness of any Subsidiary in existence at the time such Subsidiary became a Subsidiary and any amendments or modifications thereof that do not materially expand the scope of any such restriction or condition taken as a whole, </w:t>
      </w:r>
      <w:r>
        <w:rPr>
          <w:rFonts w:ascii="Times New Roman" w:hAnsi="Times New Roman"/>
          <w:i/>
          <w:color w:val="000000"/>
          <w:sz w:val="22"/>
        </w:rPr>
        <w:t xml:space="preserve">provided </w:t>
      </w:r>
      <w:r>
        <w:rPr>
          <w:rFonts w:ascii="Times New Roman" w:hAnsi="Times New Roman"/>
          <w:color w:val="000000"/>
          <w:sz w:val="22"/>
        </w:rPr>
        <w:t xml:space="preserve">that such restrictions and conditions apply only to such Subsidiary, (D) customary restrictions and conditions contained in agreements relating to the sale of a Subsidiary pending such sale, </w:t>
      </w:r>
      <w:r>
        <w:rPr>
          <w:rFonts w:ascii="Times New Roman" w:hAnsi="Times New Roman"/>
          <w:i/>
          <w:color w:val="000000"/>
          <w:sz w:val="22"/>
        </w:rPr>
        <w:t xml:space="preserve">provided </w:t>
      </w:r>
      <w:r>
        <w:rPr>
          <w:rFonts w:ascii="Times New Roman" w:hAnsi="Times New Roman"/>
          <w:color w:val="000000"/>
          <w:sz w:val="22"/>
        </w:rPr>
        <w:t xml:space="preserve">such restrictions and conditions apply only to the Subsidiary that is to be sold and such sale is permitted hereunder, (E) customary restrictions and conditions contained in any agreement relating to the disposition of any property permitted by </w:t>
      </w:r>
      <w:r>
        <w:rPr>
          <w:rFonts w:ascii="Times New Roman" w:hAnsi="Times New Roman"/>
          <w:color w:val="000000"/>
          <w:sz w:val="22"/>
          <w:u w:val="single"/>
        </w:rPr>
        <w:t>Section 6.03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6.05</w:t>
      </w:r>
      <w:r>
        <w:rPr>
          <w:color w:val="000000"/>
        </w:rPr>
        <w:t xml:space="preserve"> </w:t>
      </w:r>
      <w:r>
        <w:rPr>
          <w:rFonts w:ascii="Times New Roman" w:hAnsi="Times New Roman"/>
          <w:color w:val="000000"/>
          <w:sz w:val="22"/>
        </w:rPr>
        <w:t xml:space="preserve">pending the consummation of such disposition, (F) restrictions in the transfers of assets encumbered by a Lien permitted by </w:t>
      </w:r>
      <w:r>
        <w:rPr>
          <w:rFonts w:ascii="Times New Roman" w:hAnsi="Times New Roman"/>
          <w:color w:val="000000"/>
          <w:sz w:val="22"/>
          <w:u w:val="single"/>
        </w:rPr>
        <w:t>Section 6.02</w:t>
      </w:r>
      <w:r>
        <w:rPr>
          <w:rFonts w:ascii="Times New Roman" w:hAnsi="Times New Roman"/>
          <w:color w:val="000000"/>
          <w:sz w:val="22"/>
        </w:rPr>
        <w:t xml:space="preserve">, (G) restrictions or conditions set forth in any agreement governing Indebtedness permitted by </w:t>
      </w:r>
      <w:r>
        <w:rPr>
          <w:rFonts w:ascii="Times New Roman" w:hAnsi="Times New Roman"/>
          <w:color w:val="000000"/>
          <w:sz w:val="22"/>
          <w:u w:val="single"/>
        </w:rPr>
        <w:t>Section 6.01</w:t>
      </w:r>
      <w:r>
        <w:rPr>
          <w:rFonts w:ascii="Times New Roman" w:hAnsi="Times New Roman"/>
          <w:color w:val="000000"/>
          <w:sz w:val="22"/>
        </w:rPr>
        <w:t xml:space="preserve">, (H) customary provisions restricting assignment of any agreement entered into in the ordinary course of business, (I) customary provisions in shareholders agreements, joint venture agreements, organizational or constitutive documents or similar binding agreements relating to any joint venture and other similar agreements applicable to joint ventures and in each case applicable solely to such joint venture and the Equity Interests issued thereby, (J) restrictions on cash or other deposits (including escrowed funds) or net worth imposed under contracts entered into in the ordinary course of business, (K) restrictions that will not materially impair the Borrower’s ability to make payments under this Agreement and the other Loan Documents (as determined by the Borrower acting in good faith), (L) restrictions imposed by any agreement governing Indebtedness entered into on or after the Effective Date and permitted under </w:t>
      </w:r>
      <w:r>
        <w:rPr>
          <w:rFonts w:ascii="Times New Roman" w:hAnsi="Times New Roman"/>
          <w:color w:val="000000"/>
          <w:sz w:val="22"/>
          <w:u w:val="single"/>
        </w:rPr>
        <w:t>Section 6.01</w:t>
      </w:r>
      <w:r>
        <w:rPr>
          <w:color w:val="000000"/>
        </w:rPr>
        <w:t xml:space="preserve"> </w:t>
      </w:r>
      <w:r>
        <w:rPr>
          <w:rFonts w:ascii="Times New Roman" w:hAnsi="Times New Roman"/>
          <w:color w:val="000000"/>
          <w:sz w:val="22"/>
        </w:rPr>
        <w:t xml:space="preserve">that are, taken as a whole, in the good faith judgment of the Borrower, no more restrictive with respect to the Borrower or any Subsidiary than customary market terms for Indebtedness of such type (and, in any event, are no more restrictive than the restrictions contained in this Agreement), so long as the Borrower shall have determined in good faith that such restrictions will not affect in any material respect its obligation or ability to make any payments required hereunder, (M) Permitted Liens and (N) any encumbrances or restrictions imposed by any amendments, modifications, restatements, renewals, increases, supplements, refundings, replacements or refinancings of the contracts, instruments or obligations referred to in </w:t>
      </w:r>
      <w:r>
        <w:rPr>
          <w:rFonts w:ascii="Times New Roman" w:hAnsi="Times New Roman"/>
          <w:color w:val="000000"/>
          <w:sz w:val="22"/>
          <w:u w:val="single"/>
        </w:rPr>
        <w:t>clauses (A)</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(N)</w:t>
      </w:r>
      <w:r>
        <w:rPr>
          <w:color w:val="000000"/>
        </w:rPr>
        <w:t xml:space="preserve"> </w:t>
      </w:r>
      <w:r>
        <w:rPr>
          <w:rFonts w:ascii="Times New Roman" w:hAnsi="Times New Roman"/>
          <w:color w:val="000000"/>
          <w:sz w:val="22"/>
        </w:rPr>
        <w:t xml:space="preserve">above; </w:t>
      </w:r>
      <w:r>
        <w:rPr>
          <w:rFonts w:ascii="Times New Roman" w:hAnsi="Times New Roman"/>
          <w:i/>
          <w:color w:val="000000"/>
          <w:sz w:val="22"/>
        </w:rPr>
        <w:t xml:space="preserve">provided, </w:t>
      </w:r>
      <w:r>
        <w:rPr>
          <w:rFonts w:ascii="Times New Roman" w:hAnsi="Times New Roman"/>
          <w:color w:val="000000"/>
          <w:sz w:val="22"/>
        </w:rPr>
        <w:t xml:space="preserve">that such amendments, modifications, restatements, renewals, increases, extensions, supplements, refundings, replacements, restructurings or refinancings (x) are, in the good faith judgment of the Borrower, not materially more restrictive with respect to such encumbrance and other restrictions taken as a whole than those prior to such amendment, modification, restatement, renewal, increase, extension, restructuring, supplement, refunding,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replacement or refinancing or (y) do not materially impair the Borrower’s ability to pay its obligations under the Loan Documents as and when due; and (ii) clause (a) of the foregoing shall not apply to restrictions or conditions imposed by any agreement relating to secured Indebtedness permitted by this Agreement if such restrictions or conditions apply only to the property or assets securing such Indebtedness, nor to customary provisions in leases and other contracts restricting the assignment thereof.</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11.10</w:t>
      </w:r>
    </w:p>
    <w:p>
      <w:pPr>
        <w:pStyle w:val="TextBody"/>
        <w:bidi w:val="0"/>
        <w:spacing w:before="0" w:after="240"/>
        <w:jc w:val="both"/>
        <w:rPr/>
      </w:pPr>
      <w:r>
        <w:rPr>
          <w:rFonts w:ascii="Times New Roman" w:hAnsi="Times New Roman"/>
          <w:color w:val="000000"/>
          <w:sz w:val="22"/>
          <w:u w:val="single"/>
        </w:rPr>
        <w:t>Financial Condition Covenants</w:t>
      </w:r>
      <w:r>
        <w:rPr>
          <w:rFonts w:ascii="Times New Roman" w:hAnsi="Times New Roman"/>
          <w:color w:val="000000"/>
          <w:sz w:val="22"/>
        </w:rPr>
        <w:t xml:space="preserve">. The Borrower will not, and will not permit any of its Subsidiaries to: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FF"/>
          <w:sz w:val="22"/>
          <w:u w:val="single"/>
        </w:rPr>
        <w:t xml:space="preserve">(i) </w:t>
      </w:r>
      <w:r>
        <w:rPr>
          <w:rFonts w:ascii="Times New Roman" w:hAnsi="Times New Roman"/>
          <w:color w:val="000000"/>
          <w:sz w:val="22"/>
        </w:rPr>
        <w:t xml:space="preserve">from the Effective Date to </w:t>
      </w:r>
      <w:r>
        <w:rPr>
          <w:rFonts w:ascii="Times New Roman" w:hAnsi="Times New Roman"/>
          <w:strike/>
          <w:color w:val="FF0000"/>
          <w:sz w:val="22"/>
        </w:rPr>
        <w:t xml:space="preserve">(but not including) the first Business Day after </w:t>
      </w:r>
      <w:r>
        <w:rPr>
          <w:rFonts w:ascii="Times New Roman" w:hAnsi="Times New Roman"/>
          <w:strike/>
          <w:color w:val="008000"/>
          <w:sz w:val="22"/>
        </w:rPr>
        <w:t xml:space="preserve">a Leverage Covenant Triggering Event </w:t>
      </w:r>
      <w:r>
        <w:rPr>
          <w:rFonts w:ascii="Times New Roman" w:hAnsi="Times New Roman"/>
          <w:strike/>
          <w:color w:val="FF0000"/>
          <w:sz w:val="22"/>
        </w:rPr>
        <w:t>has occurred,</w:t>
      </w:r>
      <w:r>
        <w:rPr>
          <w:rFonts w:ascii="Times New Roman" w:hAnsi="Times New Roman"/>
          <w:color w:val="0000FF"/>
          <w:sz w:val="22"/>
          <w:u w:val="single"/>
        </w:rPr>
        <w:t>the Second Amendment Effective Date</w:t>
      </w:r>
      <w:r>
        <w:rPr>
          <w:color w:val="000000"/>
        </w:rPr>
        <w:t xml:space="preserve"> </w:t>
      </w:r>
      <w:r>
        <w:rPr>
          <w:rFonts w:ascii="Times New Roman" w:hAnsi="Times New Roman"/>
          <w:color w:val="000000"/>
          <w:sz w:val="22"/>
        </w:rPr>
        <w:t xml:space="preserve">permit Liquidity, as of the last day of each fiscal quarter (commencing with the quarter ending December 31, 2025), to be less than $120,000,000 as of such date </w:t>
      </w:r>
      <w:r>
        <w:rPr>
          <w:rFonts w:ascii="Times New Roman" w:hAnsi="Times New Roman"/>
          <w:color w:val="0000FF"/>
          <w:sz w:val="22"/>
          <w:u w:val="single"/>
        </w:rPr>
        <w:t xml:space="preserve">and (ii) from the Second Amendment </w:t>
      </w:r>
      <w:r>
        <w:rPr>
          <w:rFonts w:ascii="Times New Roman" w:hAnsi="Times New Roman"/>
          <w:color w:val="008000"/>
          <w:sz w:val="22"/>
          <w:u w:val="single"/>
        </w:rPr>
        <w:t xml:space="preserve">Effective Date to (but not including) the first Business Day after a Leverage Covenant Triggering Event has occurred, permit </w:t>
      </w:r>
      <w:r>
        <w:rPr>
          <w:rFonts w:ascii="Times New Roman" w:hAnsi="Times New Roman"/>
          <w:color w:val="0000FF"/>
          <w:sz w:val="22"/>
          <w:u w:val="single"/>
        </w:rPr>
        <w:t xml:space="preserve">Liquidity, </w:t>
      </w:r>
      <w:r>
        <w:rPr>
          <w:rFonts w:ascii="Times New Roman" w:hAnsi="Times New Roman"/>
          <w:color w:val="008000"/>
          <w:sz w:val="22"/>
          <w:u w:val="single"/>
        </w:rPr>
        <w:t xml:space="preserve">as of the last day of each </w:t>
      </w:r>
      <w:r>
        <w:rPr>
          <w:rFonts w:ascii="Times New Roman" w:hAnsi="Times New Roman"/>
          <w:color w:val="0000FF"/>
          <w:sz w:val="22"/>
          <w:u w:val="single"/>
        </w:rPr>
        <w:t xml:space="preserve">month (commencing with the month ending April 30, 2026), to be less than $381,250,000 as of such date </w:t>
      </w:r>
      <w:r>
        <w:rPr>
          <w:rFonts w:ascii="Times New Roman" w:hAnsi="Times New Roman"/>
          <w:color w:val="000000"/>
          <w:sz w:val="22"/>
        </w:rPr>
        <w:t>(this clause (a), the “</w:t>
      </w:r>
      <w:r>
        <w:rPr>
          <w:rFonts w:ascii="Times New Roman" w:hAnsi="Times New Roman"/>
          <w:color w:val="000000"/>
          <w:sz w:val="22"/>
          <w:u w:val="single"/>
        </w:rPr>
        <w:t>Minimum Liquidity Covenant</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strike/>
          <w:color w:val="FF0000"/>
          <w:sz w:val="22"/>
        </w:rPr>
        <w:t xml:space="preserve">(b) from the </w:t>
      </w:r>
      <w:r>
        <w:rPr>
          <w:rFonts w:ascii="Times New Roman" w:hAnsi="Times New Roman"/>
          <w:strike/>
          <w:color w:val="008000"/>
          <w:sz w:val="22"/>
        </w:rPr>
        <w:t xml:space="preserve">Effective Date to (but not including) the first Business Day after a Leverage Covenant Triggering Event has occurred, permit </w:t>
      </w:r>
      <w:r>
        <w:rPr>
          <w:rFonts w:ascii="Times New Roman" w:hAnsi="Times New Roman"/>
          <w:strike/>
          <w:color w:val="FF0000"/>
          <w:sz w:val="22"/>
        </w:rPr>
        <w:t xml:space="preserve">Free Cash Flow </w:t>
      </w:r>
      <w:r>
        <w:rPr>
          <w:rFonts w:ascii="Times New Roman" w:hAnsi="Times New Roman"/>
          <w:strike/>
          <w:color w:val="008000"/>
          <w:sz w:val="22"/>
        </w:rPr>
        <w:t xml:space="preserve">as of the last day of each </w:t>
      </w:r>
      <w:r>
        <w:rPr>
          <w:rFonts w:ascii="Times New Roman" w:hAnsi="Times New Roman"/>
          <w:strike/>
          <w:color w:val="FF0000"/>
          <w:sz w:val="22"/>
        </w:rPr>
        <w:t>fiscal quarter as set forth below to be less than the amount set forth below opposite such date:</w:t>
      </w:r>
    </w:p>
    <w:tbl>
      <w:tblPr>
        <w:tblW w:w="10205" w:type="dxa"/>
        <w:jc w:val="left"/>
        <w:tblInd w:w="0" w:type="dxa"/>
        <w:tblLayout w:type="fixed"/>
        <w:tblCellMar>
          <w:top w:w="28" w:type="dxa"/>
          <w:left w:w="28" w:type="dxa"/>
          <w:bottom w:w="28" w:type="dxa"/>
          <w:right w:w="28" w:type="dxa"/>
        </w:tblCellMar>
      </w:tblPr>
      <w:tblGrid>
        <w:gridCol w:w="7471"/>
        <w:gridCol w:w="2734"/>
      </w:tblGrid>
      <w:tr>
        <w:trPr/>
        <w:tc>
          <w:tcPr>
            <w:tcW w:w="7471" w:type="dxa"/>
            <w:tcBorders/>
            <w:shd w:fill="FFFFFF" w:val="clear"/>
            <w:vAlign w:val="center"/>
          </w:tcPr>
          <w:p>
            <w:pPr>
              <w:pStyle w:val="TableContents"/>
              <w:bidi w:val="0"/>
              <w:spacing w:before="0" w:after="283"/>
              <w:jc w:val="left"/>
              <w:rPr>
                <w:sz w:val="4"/>
                <w:szCs w:val="4"/>
              </w:rPr>
            </w:pPr>
            <w:r>
              <w:rPr>
                <w:sz w:val="4"/>
                <w:szCs w:val="4"/>
              </w:rPr>
            </w:r>
          </w:p>
        </w:tc>
        <w:tc>
          <w:tcPr>
            <w:tcW w:w="2734" w:type="dxa"/>
            <w:tcBorders/>
            <w:shd w:fill="FFFFFF" w:val="clear"/>
            <w:vAlign w:val="center"/>
          </w:tcPr>
          <w:p>
            <w:pPr>
              <w:pStyle w:val="TableContents"/>
              <w:bidi w:val="0"/>
              <w:spacing w:before="0" w:after="283"/>
              <w:ind w:left="0" w:right="0" w:firstLine="154"/>
              <w:jc w:val="left"/>
              <w:rPr>
                <w:sz w:val="4"/>
                <w:szCs w:val="4"/>
              </w:rPr>
            </w:pPr>
            <w:r>
              <w:rPr>
                <w:sz w:val="4"/>
                <w:szCs w:val="4"/>
              </w:rPr>
            </w:r>
          </w:p>
        </w:tc>
      </w:tr>
      <w:tr>
        <w:trPr/>
        <w:tc>
          <w:tcPr>
            <w:tcW w:w="7471" w:type="dxa"/>
            <w:tcBorders>
              <w:top w:val="single" w:sz="7" w:space="0" w:color="000000"/>
              <w:left w:val="single" w:sz="7" w:space="0" w:color="000000"/>
              <w:bottom w:val="single" w:sz="7" w:space="0" w:color="000000"/>
              <w:right w:val="single" w:sz="7" w:space="0" w:color="000000"/>
            </w:tcBorders>
            <w:shd w:fill="FFDEAD" w:val="clear"/>
            <w:vAlign w:val="center"/>
          </w:tcPr>
          <w:p>
            <w:pPr>
              <w:pStyle w:val="TableContents"/>
              <w:bidi w:val="0"/>
              <w:spacing w:before="0" w:after="240"/>
              <w:ind w:left="0" w:right="0" w:firstLine="154"/>
              <w:jc w:val="both"/>
              <w:rPr>
                <w:rFonts w:ascii="Times New Roman" w:hAnsi="Times New Roman"/>
                <w:b/>
                <w:strike/>
                <w:color w:val="FF0000"/>
                <w:sz w:val="22"/>
              </w:rPr>
            </w:pPr>
            <w:r>
              <w:rPr>
                <w:rFonts w:ascii="Times New Roman" w:hAnsi="Times New Roman"/>
                <w:b/>
                <w:strike/>
                <w:color w:val="FF0000"/>
                <w:sz w:val="22"/>
              </w:rPr>
              <w:t>Date of Determination</w:t>
            </w:r>
          </w:p>
        </w:tc>
        <w:tc>
          <w:tcPr>
            <w:tcW w:w="2734" w:type="dxa"/>
            <w:tcBorders>
              <w:top w:val="single" w:sz="7" w:space="0" w:color="000000"/>
              <w:bottom w:val="single" w:sz="7" w:space="0" w:color="000000"/>
              <w:right w:val="single" w:sz="7" w:space="0" w:color="000000"/>
            </w:tcBorders>
            <w:shd w:fill="FFDEAD" w:val="clear"/>
            <w:tcMar>
              <w:left w:w="0" w:type="dxa"/>
            </w:tcMar>
            <w:vAlign w:val="center"/>
          </w:tcPr>
          <w:p>
            <w:pPr>
              <w:pStyle w:val="TableContents"/>
              <w:bidi w:val="0"/>
              <w:spacing w:before="0" w:after="240"/>
              <w:ind w:left="0" w:right="0" w:firstLine="154"/>
              <w:jc w:val="center"/>
              <w:rPr>
                <w:rFonts w:ascii="Times New Roman" w:hAnsi="Times New Roman"/>
                <w:sz w:val="22"/>
              </w:rPr>
            </w:pPr>
            <w:r>
              <w:rPr>
                <w:rFonts w:ascii="Times New Roman" w:hAnsi="Times New Roman"/>
                <w:b/>
                <w:strike/>
                <w:color w:val="FF0000"/>
                <w:sz w:val="22"/>
              </w:rPr>
              <w:t>Minimum Free Cash Flow</w:t>
            </w:r>
            <w:r>
              <w:rPr>
                <w:rFonts w:ascii="Times New Roman" w:hAnsi="Times New Roman"/>
                <w:color w:val="FF0000"/>
                <w:sz w:val="22"/>
              </w:rPr>
              <w:t xml:space="preserve"> </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December 31, 2025</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-$325,000,000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March 31, 2026</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-$250,000,000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June 30, 2026</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-$175,000,000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September 30, 2026</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-$125,000,000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December 31, 2026</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-$100,000,000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March 31, 2027</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-$75,000,000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June 30, 2027</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-$50,000,000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September 30, 2027</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-$50,000,000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December 31, 2027</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-$25,000,000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March 31, 2028</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-$25,000,000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June 30, 2028</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ind w:left="0" w:right="0" w:firstLine="154"/>
              <w:jc w:val="center"/>
              <w:rPr>
                <w:rFonts w:ascii="Times New Roman" w:hAnsi="Times New Roman"/>
                <w:strike/>
                <w:color w:val="FF0000"/>
                <w:sz w:val="22"/>
              </w:rPr>
            </w:pPr>
            <w:r>
              <w:rPr>
                <w:rFonts w:ascii="Times New Roman" w:hAnsi="Times New Roman"/>
                <w:strike/>
                <w:color w:val="FF0000"/>
                <w:sz w:val="22"/>
              </w:rPr>
              <w:t>-$25,000,000</w:t>
            </w:r>
          </w:p>
        </w:tc>
      </w:tr>
      <w:tr>
        <w:trPr/>
        <w:tc>
          <w:tcPr>
            <w:tcW w:w="7471" w:type="dxa"/>
            <w:tcBorders>
              <w:left w:val="single" w:sz="7" w:space="0" w:color="000000"/>
              <w:bottom w:val="single" w:sz="7" w:space="0" w:color="000000"/>
              <w:right w:val="single" w:sz="7" w:space="0" w:color="000000"/>
            </w:tcBorders>
            <w:shd w:fill="FFDEAD" w:val="clear"/>
            <w:tcMar>
              <w:top w:w="0" w:type="dxa"/>
            </w:tcMar>
            <w:vAlign w:val="center"/>
          </w:tcPr>
          <w:p>
            <w:pPr>
              <w:pStyle w:val="TableContents"/>
              <w:bidi w:val="0"/>
              <w:spacing w:before="0" w:after="240"/>
              <w:ind w:left="0" w:right="0" w:firstLine="154"/>
              <w:jc w:val="both"/>
              <w:rPr>
                <w:rFonts w:ascii="Times New Roman" w:hAnsi="Times New Roman"/>
                <w:strike/>
                <w:color w:val="FF0000"/>
                <w:sz w:val="22"/>
              </w:rPr>
            </w:pPr>
            <w:r>
              <w:rPr>
                <w:rFonts w:ascii="Times New Roman" w:hAnsi="Times New Roman"/>
                <w:strike/>
                <w:color w:val="FF0000"/>
                <w:sz w:val="22"/>
              </w:rPr>
              <w:t>September 30, 2028 and, thereafter, as of the last day of each subsequent fiscal quarter</w:t>
            </w:r>
          </w:p>
        </w:tc>
        <w:tc>
          <w:tcPr>
            <w:tcW w:w="2734" w:type="dxa"/>
            <w:tcBorders>
              <w:bottom w:val="single" w:sz="7" w:space="0" w:color="000000"/>
              <w:right w:val="single" w:sz="7" w:space="0" w:color="000000"/>
            </w:tcBorders>
            <w:shd w:fill="FFDEAD" w:val="clear"/>
            <w:tcMar>
              <w:top w:w="0" w:type="dxa"/>
              <w:left w:w="0" w:type="dxa"/>
            </w:tcMar>
            <w:vAlign w:val="center"/>
          </w:tcPr>
          <w:p>
            <w:pPr>
              <w:pStyle w:val="TableContents"/>
              <w:bidi w:val="0"/>
              <w:spacing w:before="0" w:after="283"/>
              <w:jc w:val="center"/>
              <w:rPr>
                <w:rFonts w:ascii="Times New Roman" w:hAnsi="Times New Roman"/>
                <w:strike/>
                <w:color w:val="FF0000"/>
                <w:sz w:val="22"/>
              </w:rPr>
            </w:pPr>
            <w:r>
              <w:rPr>
                <w:rFonts w:ascii="Times New Roman" w:hAnsi="Times New Roman"/>
                <w:strike/>
                <w:color w:val="FF0000"/>
                <w:sz w:val="22"/>
              </w:rPr>
              <w:t>$0</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40"/>
        <w:jc w:val="both"/>
        <w:rPr>
          <w:rFonts w:ascii="Times New Roman" w:hAnsi="Times New Roman"/>
          <w:sz w:val="20"/>
        </w:rPr>
      </w:pPr>
      <w:r>
        <w:rPr>
          <w:rFonts w:ascii="Times New Roman" w:hAnsi="Times New Roman"/>
          <w:strike/>
          <w:color w:val="FF0000"/>
          <w:sz w:val="22"/>
        </w:rPr>
        <w:t xml:space="preserve">; </w:t>
      </w:r>
      <w:r>
        <w:rPr>
          <w:rFonts w:ascii="Times New Roman" w:hAnsi="Times New Roman"/>
          <w:strike/>
          <w:color w:val="FF0000"/>
          <w:sz w:val="22"/>
          <w:u w:val="single"/>
        </w:rPr>
        <w:t>provided</w:t>
      </w:r>
      <w:r>
        <w:rPr>
          <w:rFonts w:ascii="Times New Roman" w:hAnsi="Times New Roman"/>
          <w:strike/>
          <w:color w:val="FF0000"/>
          <w:sz w:val="20"/>
        </w:rPr>
        <w:t xml:space="preserve"> </w:t>
      </w:r>
      <w:r>
        <w:rPr>
          <w:rFonts w:ascii="Times New Roman" w:hAnsi="Times New Roman"/>
          <w:strike/>
          <w:color w:val="FF0000"/>
          <w:sz w:val="22"/>
        </w:rPr>
        <w:t xml:space="preserve">that if Free Cash Flow for the last twelve months is greater than the projected Free Cash Flow for the last twelve months as set forth in the 2025 Pro Forma Model as of the applicable last day of any fiscal quarter (as reasonably calculated by the Borrower and attached hereto as Schedule 6.10(b)), the amount by which such Free Cash Flow exceeds such projected Free Cash Flow may be carried forward to any subsequent last day of any fiscal quarter; </w:t>
      </w:r>
      <w:r>
        <w:rPr>
          <w:rFonts w:ascii="Times New Roman" w:hAnsi="Times New Roman"/>
          <w:strike/>
          <w:color w:val="FF0000"/>
          <w:sz w:val="22"/>
          <w:u w:val="single"/>
        </w:rPr>
        <w:t>provided</w:t>
      </w:r>
      <w:r>
        <w:rPr>
          <w:rFonts w:ascii="Times New Roman" w:hAnsi="Times New Roman"/>
          <w:strike/>
          <w:color w:val="FF0000"/>
          <w:sz w:val="20"/>
        </w:rPr>
        <w:t xml:space="preserve"> </w:t>
      </w:r>
      <w:r>
        <w:rPr>
          <w:rFonts w:ascii="Times New Roman" w:hAnsi="Times New Roman"/>
          <w:strike/>
          <w:color w:val="FF0000"/>
          <w:sz w:val="22"/>
        </w:rPr>
        <w:t>that such excess amount that may be carried forward shall not exceed in any fiscal quarter the lesser of (x) $50,000,000 and (y) the aggregate amount of excess Free Cash Flow as of the immediately preceding two fiscal quarters).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strike/>
          <w:color w:val="FF0000"/>
          <w:sz w:val="22"/>
        </w:rPr>
        <w:t xml:space="preserve">(c) </w:t>
      </w:r>
      <w:r>
        <w:rPr>
          <w:rFonts w:ascii="Times New Roman" w:hAnsi="Times New Roman"/>
          <w:color w:val="000000"/>
          <w:sz w:val="22"/>
        </w:rPr>
        <w:t>commencing upon the occurrence of a Leverage Covenant Triggering Event, permit the Consolidated First Lien Net Leverage Ratio, as of the last day of each fiscal quarter, to be greater than 4.00 to 1.00 (as of the last day of the Test Period then most recently ended).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11.11</w:t>
      </w:r>
    </w:p>
    <w:p>
      <w:pPr>
        <w:pStyle w:val="TextBody"/>
        <w:bidi w:val="0"/>
        <w:spacing w:before="0" w:after="240"/>
        <w:jc w:val="both"/>
        <w:rPr/>
      </w:pPr>
      <w:r>
        <w:rPr>
          <w:rFonts w:ascii="Times New Roman" w:hAnsi="Times New Roman"/>
          <w:color w:val="000000"/>
          <w:sz w:val="22"/>
          <w:u w:val="single"/>
        </w:rPr>
        <w:t>Amendment of Material Documents</w:t>
      </w:r>
      <w:r>
        <w:rPr>
          <w:rFonts w:ascii="Times New Roman" w:hAnsi="Times New Roman"/>
          <w:color w:val="000000"/>
          <w:sz w:val="22"/>
        </w:rPr>
        <w:t>. No Loan Party will, nor will any Loan Party permit its respective Subsidiaries to, amend, modify or waive any of its rights under (a) any agreement relating to any Subordinated Indebtedness or Junior Lien Indebtedness, in each case, with a principal amount then outstanding in excess of the Threshold Amount, except as not prohibited under any related subordination agreement (including any Acceptable Subordination or Intercreditor Agreement, as applicable), or (b) its charter, articles or certificate of organization or incorporation and bylaws or operating, management or partnership agreement, or other organizational or governing documents in a manner materially adverse to the Lenders.</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XII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EVENTS OF DEFAULT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12.01</w:t>
      </w:r>
    </w:p>
    <w:p>
      <w:pPr>
        <w:pStyle w:val="TextBody"/>
        <w:bidi w:val="0"/>
        <w:spacing w:before="0" w:after="240"/>
        <w:jc w:val="both"/>
        <w:rPr/>
      </w:pPr>
      <w:r>
        <w:rPr>
          <w:rFonts w:ascii="Times New Roman" w:hAnsi="Times New Roman"/>
          <w:color w:val="000000"/>
          <w:sz w:val="22"/>
          <w:u w:val="single"/>
        </w:rPr>
        <w:t>Events of Default</w:t>
      </w:r>
      <w:r>
        <w:rPr>
          <w:color w:val="000000"/>
        </w:rPr>
        <w:t xml:space="preserve"> </w:t>
      </w:r>
      <w:r>
        <w:rPr>
          <w:rFonts w:ascii="Times New Roman" w:hAnsi="Times New Roman"/>
          <w:color w:val="000000"/>
          <w:sz w:val="22"/>
        </w:rPr>
        <w:t>If any of the following events (“</w:t>
      </w:r>
      <w:r>
        <w:rPr>
          <w:rFonts w:ascii="Times New Roman" w:hAnsi="Times New Roman"/>
          <w:b/>
          <w:i/>
          <w:color w:val="000000"/>
          <w:sz w:val="22"/>
        </w:rPr>
        <w:t>Events of Default</w:t>
      </w:r>
      <w:r>
        <w:rPr>
          <w:color w:val="000000"/>
        </w:rPr>
        <w:t>”</w:t>
      </w:r>
      <w:r>
        <w:rPr>
          <w:rFonts w:ascii="Times New Roman" w:hAnsi="Times New Roman"/>
          <w:color w:val="000000"/>
          <w:sz w:val="22"/>
        </w:rPr>
        <w:t>) shall occur: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or any other Loan Party shall fail to pay (i) any due and payable interest on any Loan and such failure shall continue unremedied for a period of five (5) Business Days or (ii) any fee or any other amount (other than an amount referred to in clause (a) of this Article) payable under this Agreement or any other Loan Document, when and as the same shall become due and payable, and such failure shall continue unremedied for a period of ten (10) Business Days;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representation or warranty made or deemed made by any Loan Party in this Agreement or any other Loan Document shall prove to have been incorrect in any material respect (or in any respect if such representation or warranty is already qualified by concepts of materiality) when made or deemed made and, to the extent such incorrect representation or warranty is capable of being corrected, shall remain incorrect for a period of thirty (30) days after written notice thereof from the Administrative Agent to the Borrower;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any Loan Party shall fail to observe or perform any covenant, condition or agreement contained in </w:t>
      </w:r>
      <w:r>
        <w:rPr>
          <w:rFonts w:ascii="Times New Roman" w:hAnsi="Times New Roman"/>
          <w:color w:val="000000"/>
          <w:sz w:val="22"/>
          <w:u w:val="single"/>
        </w:rPr>
        <w:t>Section 5.02(a)</w:t>
      </w:r>
      <w:r>
        <w:rPr>
          <w:color w:val="000000"/>
        </w:rPr>
        <w:t xml:space="preserve"> </w:t>
      </w:r>
      <w:r>
        <w:rPr>
          <w:rFonts w:ascii="Times New Roman" w:hAnsi="Times New Roman"/>
          <w:color w:val="000000"/>
          <w:sz w:val="22"/>
        </w:rPr>
        <w:t>(provided that notice of such Event of Default shall cure any such Event of Default as a result of a breach under</w:t>
      </w:r>
      <w:r>
        <w:rPr>
          <w:color w:val="000000"/>
          <w:u w:val="single"/>
        </w:rPr>
        <w:t xml:space="preserve"> </w:t>
      </w:r>
      <w:r>
        <w:rPr>
          <w:rFonts w:ascii="Times New Roman" w:hAnsi="Times New Roman"/>
          <w:color w:val="000000"/>
          <w:sz w:val="22"/>
          <w:u w:val="single"/>
        </w:rPr>
        <w:t>Section 5.02(a)</w:t>
      </w:r>
      <w:r>
        <w:rPr>
          <w:rFonts w:ascii="Times New Roman" w:hAnsi="Times New Roman"/>
          <w:color w:val="000000"/>
          <w:sz w:val="22"/>
        </w:rPr>
        <w:t xml:space="preserve">), </w:t>
      </w:r>
      <w:r>
        <w:rPr>
          <w:rFonts w:ascii="Times New Roman" w:hAnsi="Times New Roman"/>
          <w:color w:val="000000"/>
          <w:sz w:val="22"/>
          <w:u w:val="single"/>
        </w:rPr>
        <w:t>5.03</w:t>
      </w:r>
      <w:r>
        <w:rPr>
          <w:color w:val="000000"/>
        </w:rPr>
        <w:t xml:space="preserve"> </w:t>
      </w:r>
      <w:r>
        <w:rPr>
          <w:rFonts w:ascii="Times New Roman" w:hAnsi="Times New Roman"/>
          <w:color w:val="000000"/>
          <w:sz w:val="22"/>
        </w:rPr>
        <w:t xml:space="preserve">(solely with respect to legal existence of the Borrower), </w:t>
      </w:r>
      <w:r>
        <w:rPr>
          <w:rFonts w:ascii="Times New Roman" w:hAnsi="Times New Roman"/>
          <w:color w:val="000000"/>
          <w:sz w:val="22"/>
          <w:u w:val="single"/>
        </w:rPr>
        <w:t>5.08</w:t>
      </w:r>
      <w:r>
        <w:rPr>
          <w:color w:val="000000"/>
        </w:rPr>
        <w:t xml:space="preserve"> </w:t>
      </w:r>
      <w:r>
        <w:rPr>
          <w:rFonts w:ascii="Times New Roman" w:hAnsi="Times New Roman"/>
          <w:color w:val="000000"/>
          <w:sz w:val="22"/>
        </w:rPr>
        <w:t xml:space="preserve">or in </w:t>
      </w:r>
      <w:r>
        <w:rPr>
          <w:rFonts w:ascii="Times New Roman" w:hAnsi="Times New Roman"/>
          <w:color w:val="000000"/>
          <w:sz w:val="22"/>
          <w:u w:val="single"/>
        </w:rPr>
        <w:t>Article VI</w:t>
      </w:r>
      <w:r>
        <w:rPr>
          <w:color w:val="000000"/>
        </w:rPr>
        <w:t xml:space="preserve"> </w:t>
      </w:r>
      <w:r>
        <w:rPr>
          <w:rFonts w:ascii="Times New Roman" w:hAnsi="Times New Roman"/>
          <w:color w:val="000000"/>
          <w:sz w:val="22"/>
        </w:rPr>
        <w:t xml:space="preserve">of this Agreement; provided, that the covenant in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 xml:space="preserve">is subject to cure pursuant to </w:t>
      </w:r>
      <w:r>
        <w:rPr>
          <w:rFonts w:ascii="Times New Roman" w:hAnsi="Times New Roman"/>
          <w:color w:val="000000"/>
          <w:sz w:val="22"/>
          <w:u w:val="single"/>
        </w:rPr>
        <w:t>Section 7.02</w:t>
      </w:r>
      <w:r>
        <w:rPr>
          <w:color w:val="000000"/>
        </w:rPr>
        <w:t xml:space="preserve"> </w:t>
      </w:r>
      <w:r>
        <w:rPr>
          <w:rFonts w:ascii="Times New Roman" w:hAnsi="Times New Roman"/>
          <w:color w:val="000000"/>
          <w:sz w:val="22"/>
        </w:rPr>
        <w:t xml:space="preserve">and an Event of Default with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respect to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shall not occur unless a Cure Right is not exercised by the Cure Expiration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any Loan Party shall fail to observe or perform any covenant, condition or agreement contained in this Agreement or in any other Loan Document (other than those which constitute a default under another Section of this Article), and such failure shall continue unremedied or unwaived for a period of (i) in the case of any such failure in respect of </w:t>
      </w:r>
      <w:r>
        <w:rPr>
          <w:rFonts w:ascii="Times New Roman" w:hAnsi="Times New Roman"/>
          <w:color w:val="000000"/>
          <w:sz w:val="22"/>
          <w:u w:val="single"/>
        </w:rPr>
        <w:t>Section 5.01(a)</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w:t>
      </w:r>
      <w:r>
        <w:rPr>
          <w:rFonts w:ascii="Times New Roman" w:hAnsi="Times New Roman"/>
          <w:strike/>
          <w:color w:val="FF0000"/>
          <w:sz w:val="22"/>
          <w:u w:val="single"/>
        </w:rPr>
        <w:t>d</w:t>
      </w:r>
      <w:r>
        <w:rPr>
          <w:rFonts w:ascii="Times New Roman" w:hAnsi="Times New Roman"/>
          <w:color w:val="0000FF"/>
          <w:sz w:val="22"/>
          <w:u w:val="single"/>
        </w:rPr>
        <w:t>g</w:t>
      </w:r>
      <w:r>
        <w:rPr>
          <w:rFonts w:ascii="Times New Roman" w:hAnsi="Times New Roman"/>
          <w:color w:val="000000"/>
          <w:sz w:val="22"/>
          <w:u w:val="single"/>
        </w:rPr>
        <w:t>)</w:t>
      </w:r>
      <w:r>
        <w:rPr>
          <w:rFonts w:ascii="Times New Roman" w:hAnsi="Times New Roman"/>
          <w:color w:val="000000"/>
          <w:sz w:val="22"/>
        </w:rPr>
        <w:t xml:space="preserve">, </w:t>
      </w:r>
      <w:r>
        <w:rPr>
          <w:rFonts w:ascii="Times New Roman" w:hAnsi="Times New Roman"/>
          <w:color w:val="000000"/>
          <w:sz w:val="22"/>
          <w:u w:val="single"/>
        </w:rPr>
        <w:t>5.02</w:t>
      </w:r>
      <w:r>
        <w:rPr>
          <w:color w:val="000000"/>
        </w:rPr>
        <w:t xml:space="preserve"> </w:t>
      </w:r>
      <w:r>
        <w:rPr>
          <w:rFonts w:ascii="Times New Roman" w:hAnsi="Times New Roman"/>
          <w:color w:val="000000"/>
          <w:sz w:val="22"/>
        </w:rPr>
        <w:t xml:space="preserve">(other than </w:t>
      </w:r>
      <w:r>
        <w:rPr>
          <w:rFonts w:ascii="Times New Roman" w:hAnsi="Times New Roman"/>
          <w:color w:val="000000"/>
          <w:sz w:val="22"/>
          <w:u w:val="single"/>
        </w:rPr>
        <w:t>5.02(a)</w:t>
      </w:r>
      <w:r>
        <w:rPr>
          <w:rFonts w:ascii="Times New Roman" w:hAnsi="Times New Roman"/>
          <w:color w:val="000000"/>
          <w:sz w:val="22"/>
        </w:rPr>
        <w:t xml:space="preserve">) or </w:t>
      </w:r>
      <w:r>
        <w:rPr>
          <w:rFonts w:ascii="Times New Roman" w:hAnsi="Times New Roman"/>
          <w:color w:val="000000"/>
          <w:sz w:val="22"/>
          <w:u w:val="single"/>
        </w:rPr>
        <w:t>5.09</w:t>
      </w:r>
      <w:r>
        <w:rPr>
          <w:rFonts w:ascii="Times New Roman" w:hAnsi="Times New Roman"/>
          <w:color w:val="000000"/>
          <w:sz w:val="22"/>
        </w:rPr>
        <w:t>, five (5) Business Days and (ii) in the case of any such failure in respect of any other provision, thirty (30) days after the earlier of any Loan Party’s knowledge of such breach or written notice thereof from the Administrative Agent (which notice will be given at the request of any Lender);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any Loan Party or any Subsidiary shall fail to make any payment (whether of principal or interest and regardless of amount) in respect of any Material Indebtedness, when and as the same shall become due and payable after giving effect to any applicable notice and grace periods provided in the applicable instrument or agreement under which such Material Indebtedness was created; </w:t>
      </w:r>
      <w:r>
        <w:rPr>
          <w:rFonts w:ascii="Times New Roman" w:hAnsi="Times New Roman"/>
          <w:i/>
          <w:color w:val="000000"/>
          <w:sz w:val="22"/>
        </w:rPr>
        <w:t xml:space="preserve">provided </w:t>
      </w:r>
      <w:r>
        <w:rPr>
          <w:rFonts w:ascii="Times New Roman" w:hAnsi="Times New Roman"/>
          <w:color w:val="000000"/>
          <w:sz w:val="22"/>
        </w:rPr>
        <w:t xml:space="preserve">that this </w:t>
      </w:r>
      <w:r>
        <w:rPr>
          <w:rFonts w:ascii="Times New Roman" w:hAnsi="Times New Roman"/>
          <w:color w:val="000000"/>
          <w:sz w:val="22"/>
          <w:u w:val="single"/>
        </w:rPr>
        <w:t xml:space="preserve">clause </w:t>
      </w:r>
      <w:r>
        <w:rPr>
          <w:rFonts w:ascii="Times New Roman" w:hAnsi="Times New Roman"/>
          <w:color w:val="000000"/>
          <w:sz w:val="22"/>
        </w:rPr>
        <w:t>(f) shall not apply to any such failure that is (x) remedied by the Loan Parties or any Subsidiary or (y) waived (including in the form of a forbearance or amendment) by the requisite holders of the applicable item of Material Indebtedness;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rPr>
        <w:t xml:space="preserve">any event or condition occurs (after all applicable grace periods have expired and all required notices have been given) that results in any Material Indebtedness becoming due prior to its scheduled maturity or that enables or permits (after delivery of any notice if required and after giving effect to any waiver, amendment, cure or grace period) the holder or holders of any Material Indebtedness or any trustee or agent on its or their behalf to cause any Material Indebtedness to become due, or to require the prepayment, repurchase, redemption or defeasance thereof, prior to its scheduled maturity (in each case, after the delivery of any required notices and passage of any grace periods); </w:t>
      </w:r>
      <w:r>
        <w:rPr>
          <w:rFonts w:ascii="Times New Roman" w:hAnsi="Times New Roman"/>
          <w:i/>
          <w:color w:val="000000"/>
          <w:sz w:val="22"/>
        </w:rPr>
        <w:t xml:space="preserve">provided </w:t>
      </w:r>
      <w:r>
        <w:rPr>
          <w:rFonts w:ascii="Times New Roman" w:hAnsi="Times New Roman"/>
          <w:color w:val="000000"/>
          <w:sz w:val="22"/>
        </w:rPr>
        <w:t>that this clause (g) shall not apply to (A) secured Indebtedness that becomes due as a result of the voluntary sale, transfer or other disposition (including as a result of a casualty or condemnation event) of the property or assets securing such Indebtedness, (B) Indebtedness which is convertible into Equity Interests and converts to Equity Interests or fractional shares in cash in accordance with its terms or (C) any breach or default that (x) is remedied by the Borrower or any applicable Subsidiary or (y) is waived (including in the form of an amendment or forbearance) by the requisite holders of the applicable item of Material Indebtedness;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involuntary proceeding shall be commenced or an involuntary petition shall be filed seeking (i) liquidation, reorganization or other relief in respect of the Borrower or any Subsidiary (other than any Immaterial Subsidiary) or its debts, or of a substantial part of its assets, under any federal, state or foreign bankruptcy, insolvency, receivership or similar law now or hereafter in effect or (ii) the involuntary appointment of a receiver, trustee, custodian, sequestrator, conservator or similar official for any Loan Party or any Subsidiary (in either case, other than any Immaterial Subsidiary) or for a substantial part of its assets, and, in any such case, such proceeding or petition shall continue undismissed for sixty (60) days or an order or decree approving or ordering any of the foregoing shall be entered;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Loan Party or any Subsidiary (in either case, other than any Immaterial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sequestrator, conservator or similar official for such Loan Party or any Subsidiary (in either case, other than any Immaterial Subsidiary) of any Loan Party or for a substantial part of its assets, (iv) file an answer admitting the material allegations of a petition filed against it in any such proceeding, or (v) make a general assignment for the benefit of creditors;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one or more final, non-appealable judgments for the payment of money in an aggregate amount in excess of $15,000,000, to the extent not covered by insurance or which is not otherwise covered by an indemnification in favor of any Loan Party or any Subsidiary of any Loan Party, as applicable, shall be rendered against any Loan Party, any Subsidiary or any combination thereof and the same shall remain undischarged for a period of sixty (60) consecutive days during which execution shall not be effectively stayed, or any action shall be legally taken by a judgment creditor to attach or levy upon any assets of any Loan Party or any Subsidiary to enforce any such judgment;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ERISA Event shall have occurred that when taken together with all other ERISA Events that have occurred, would reasonably be expected to result in a Material Adverse Effect;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Change in Control shall have occurred;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permitted by the terms of this Agreement, the Loan Guaranty shall fail to remain in full force or effect or any action shall be taken to discontinue or to assert the invalidity or unenforceability of the Loan Guaranty, or any Guarantor shall deny that it has any further liability under the Loan Guaranty to which it is a party;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permitted by the terms of any Collateral Document, (i) any Collateral Document shall for any reason fail to create a valid security interest in any material portion of the Collateral, taken as a whole, as required by this Agreement or any Collateral Document, or (ii) any Lien on any material portion of the Collateral, taken as a whole, securing any Secured Obligation shall cease to be a perfected (if and to the extent required to be perfected under the Collateral Documents), first priority Lien (subject to Permitted Liens), except (A) as a result of the release of a Loan Party or the sale, transfer or other disposition to a Person that is not a Loan Party or a Subsidiary of the applicable Collateral in each case, in a transaction permitted under the Loan Documents, (B) as a result of the Administrative Agent’s or any other Secured Party no longer having possession of any stock certificates, promissory notes or other instruments actually delivered to it under the Collateral Documents or (C) UCC continuation statements not being timely filed;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material provision of any Loan Document, at any time after its execution and delivery, for any reason other than as expressly permitted hereunder or thereunder, or as a result of the termination of the Commitments and the Payment in Full the Obligations of the Loan Parties thereunder, shall cease to be in full force and effect; or any Loan Party or any other Person shall contest in any manner the validity or enforceability of any Loan Document or shall purport to revoke, terminate or rescind any Loan Document;</w:t>
      </w:r>
    </w:p>
    <w:p>
      <w:pPr>
        <w:pStyle w:val="TextBody"/>
        <w:bidi w:val="0"/>
        <w:spacing w:before="0" w:after="240"/>
        <w:jc w:val="both"/>
        <w:rPr>
          <w:rFonts w:ascii="Times New Roman" w:hAnsi="Times New Roman"/>
          <w:sz w:val="20"/>
        </w:rPr>
      </w:pPr>
      <w:r>
        <w:rPr>
          <w:rFonts w:ascii="Times New Roman" w:hAnsi="Times New Roman"/>
          <w:color w:val="000000"/>
          <w:sz w:val="22"/>
        </w:rPr>
        <w:t>then, and in every such event (other than an event with respect to the Borrower described in clause (h) or (i) of this Article), and at any time thereafter during the continuance of such event, the Administrative Agent, at the request of the Required Lenders, shall, by written notice to the Borrower, take any or all of the following actions, at the same or different times: (i) terminate the Commitments (including the Issuing Bank Sublimit and Swingline Commitment), and thereupon the Commitments shall terminate immediately,</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but unpaid interest thereon and all fees and other obligations of the Borrower accrued hereunder, shall become due and payable immediately, in each case without presentment, demand, protest or other notice of any kind, all of which are hereby waived by the Borrower (to the extent permitted by applicable law), and (iii) require that the Borrower provide cash collateral for the LC Exposure in accordance with </w:t>
      </w:r>
      <w:r>
        <w:rPr>
          <w:rFonts w:ascii="Times New Roman" w:hAnsi="Times New Roman"/>
          <w:color w:val="000000"/>
          <w:sz w:val="22"/>
          <w:u w:val="single"/>
        </w:rPr>
        <w:t>Section 2.06(j)</w:t>
      </w:r>
      <w:r>
        <w:rPr>
          <w:rFonts w:ascii="Times New Roman" w:hAnsi="Times New Roman"/>
          <w:color w:val="000000"/>
          <w:sz w:val="20"/>
        </w:rPr>
        <w:t xml:space="preserve"> </w:t>
      </w:r>
      <w:r>
        <w:rPr>
          <w:rFonts w:ascii="Times New Roman" w:hAnsi="Times New Roman"/>
          <w:color w:val="000000"/>
          <w:sz w:val="22"/>
        </w:rPr>
        <w:t>hereof; and in case of any event with respect to the Borrower described in clause (h) or (i) of this Article, the Commitments shall automatically terminate and the principal of the Loans then outstanding and cash collateral for the LC Exposure, together with accrued but unpaid interest thereon and all fees and other obligations of the Borrower accrued hereunder, shall automatically become due and payable, and the obligation of the Borrower to cash collateralize the LC Exposure as provided in clause (iii) above shall automatically become effective, in each case, without presentment, demand, protest or other notice of any kind, all of which are hereby waived by the Borrower (to the extent permitted by applicable law). Upon the occurrence and during the continuance of an Event of Default, the Administrative Agent, at the request of the Required Lenders, shall exercise any rights and remedies provided to the Administrative Agent under the Loan Documents or at law or equity, including all remedies provided under the UCC.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addition to any other rights and remedies granted to the Administrative Agent and the Lenders in the Loan Documents but subject to the terms therein, if any Event of Default has occurred and is continuing, the Administrative Agent on behalf of the Lenders may exercise all rights and remedies of a secured party under the New York Uniform Commercial Code or any other applicable law. Without limiting the generality of the foregoing, if any Event of Default has occurred and is continuing, the Administrative Agent, without demand of performance or other demand, presentment, protest, advertisement or notice of any kind (except for any notice of default to the extent expressly required under the Loan Documents and/or any notice required by law referred to below) to or upon any Loan Party or any other Person (all and each of which demands, defenses, advertisements and notices are hereby waived (to the extent permitted by applicable law)), may in such circumstances forthwith collect, receive, appropriate and realize upon the Collateral, or any part thereof, or consent to the use by the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With respect to any public or private sales referred to in the preceding sentence,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Each Loan Party further agrees, at the Administrative Agent’s request, to assemble the Collateral and make it available to the Administrative Agent at places which the Administrative Agent shall reasonably select, whether at such Loan Party’s premises or elsewhere. The Administrative Agent shall apply the net proceeds of any action taken by it pursuant to this </w:t>
      </w:r>
      <w:r>
        <w:rPr>
          <w:rFonts w:ascii="Times New Roman" w:hAnsi="Times New Roman"/>
          <w:color w:val="000000"/>
          <w:sz w:val="22"/>
          <w:u w:val="single"/>
        </w:rPr>
        <w:t>Article VII</w:t>
      </w:r>
      <w:r>
        <w:rPr>
          <w:rFonts w:ascii="Times New Roman" w:hAnsi="Times New Roman"/>
          <w:color w:val="000000"/>
          <w:sz w:val="22"/>
        </w:rPr>
        <w:t xml:space="preserve">,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extent reimbursable under </w:t>
      </w:r>
      <w:r>
        <w:rPr>
          <w:rFonts w:ascii="Times New Roman" w:hAnsi="Times New Roman"/>
          <w:color w:val="000000"/>
          <w:sz w:val="22"/>
          <w:u w:val="single"/>
        </w:rPr>
        <w:t>Section 9.03</w:t>
      </w:r>
      <w:r>
        <w:rPr>
          <w:rFonts w:ascii="Times New Roman" w:hAnsi="Times New Roman"/>
          <w:color w:val="000000"/>
          <w:sz w:val="22"/>
        </w:rPr>
        <w:t>,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New York UCC, need the Administrative Agent account for the surplus, if any, to any Loan Party. To the extent permitted by</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applicable law, each Loan Party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ten (10) days before such sale or other disposition.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12.02</w:t>
      </w:r>
    </w:p>
    <w:p>
      <w:pPr>
        <w:pStyle w:val="TextBody"/>
        <w:bidi w:val="0"/>
        <w:spacing w:before="0" w:after="240"/>
        <w:jc w:val="both"/>
        <w:rPr/>
      </w:pPr>
      <w:r>
        <w:rPr>
          <w:rFonts w:ascii="Times New Roman" w:hAnsi="Times New Roman"/>
          <w:color w:val="000000"/>
          <w:sz w:val="22"/>
          <w:u w:val="single"/>
        </w:rPr>
        <w:t>Right to Cure</w:t>
      </w:r>
      <w:r>
        <w:rPr>
          <w:rFonts w:ascii="Times New Roman" w:hAnsi="Times New Roman"/>
          <w:color w:val="000000"/>
          <w:sz w:val="22"/>
        </w:rPr>
        <w:t xml:space="preserve">. Notwithstanding the foregoing </w:t>
      </w:r>
      <w:r>
        <w:rPr>
          <w:rFonts w:ascii="Times New Roman" w:hAnsi="Times New Roman"/>
          <w:color w:val="000000"/>
          <w:sz w:val="22"/>
          <w:u w:val="single"/>
        </w:rPr>
        <w:t>Section 7.01</w:t>
      </w:r>
      <w:r>
        <w:rPr>
          <w:color w:val="000000"/>
        </w:rPr>
        <w:t xml:space="preserve"> </w:t>
      </w:r>
      <w:r>
        <w:rPr>
          <w:rFonts w:ascii="Times New Roman" w:hAnsi="Times New Roman"/>
          <w:color w:val="000000"/>
          <w:sz w:val="22"/>
        </w:rPr>
        <w:t xml:space="preserve">above, in the event that the Borrower fails to comply with any of the financial covenants referenced in </w:t>
      </w:r>
      <w:r>
        <w:rPr>
          <w:rFonts w:ascii="Times New Roman" w:hAnsi="Times New Roman"/>
          <w:color w:val="000000"/>
          <w:sz w:val="22"/>
          <w:u w:val="single"/>
        </w:rPr>
        <w:t>Section 6.10</w:t>
      </w:r>
      <w:r>
        <w:rPr>
          <w:color w:val="000000"/>
        </w:rPr>
        <w:t xml:space="preserve"> </w:t>
      </w:r>
      <w:r>
        <w:rPr>
          <w:rFonts w:ascii="Times New Roman" w:hAnsi="Times New Roman"/>
          <w:color w:val="000000"/>
          <w:sz w:val="22"/>
        </w:rPr>
        <w:t>above (each a “</w:t>
      </w:r>
      <w:r>
        <w:rPr>
          <w:rFonts w:ascii="Times New Roman" w:hAnsi="Times New Roman"/>
          <w:b/>
          <w:i/>
          <w:color w:val="000000"/>
          <w:sz w:val="22"/>
        </w:rPr>
        <w:t>Financial Performance Covenant</w:t>
      </w:r>
      <w:r>
        <w:rPr>
          <w:color w:val="000000"/>
        </w:rPr>
        <w:t>”</w:t>
      </w:r>
      <w:r>
        <w:rPr>
          <w:rFonts w:ascii="Times New Roman" w:hAnsi="Times New Roman"/>
          <w:color w:val="000000"/>
          <w:sz w:val="22"/>
        </w:rPr>
        <w:t xml:space="preserve">), from the first day of the applicable fiscal quarter </w:t>
      </w:r>
      <w:r>
        <w:rPr>
          <w:rFonts w:ascii="Times New Roman" w:hAnsi="Times New Roman"/>
          <w:color w:val="0000FF"/>
          <w:sz w:val="22"/>
          <w:u w:val="single"/>
        </w:rPr>
        <w:t xml:space="preserve">or month, as applicable </w:t>
      </w:r>
      <w:r>
        <w:rPr>
          <w:rFonts w:ascii="Times New Roman" w:hAnsi="Times New Roman"/>
          <w:color w:val="000000"/>
          <w:sz w:val="22"/>
        </w:rPr>
        <w:t>until the fifteenth (15</w:t>
      </w:r>
      <w:r>
        <w:rPr>
          <w:rFonts w:ascii="Times New Roman" w:hAnsi="Times New Roman"/>
          <w:color w:val="000000"/>
          <w:sz w:val="15"/>
        </w:rPr>
        <w:t>th</w:t>
      </w:r>
      <w:r>
        <w:rPr>
          <w:rFonts w:ascii="Times New Roman" w:hAnsi="Times New Roman"/>
          <w:color w:val="000000"/>
          <w:sz w:val="22"/>
        </w:rPr>
        <w:t>) Business Day (such date, the “</w:t>
      </w:r>
      <w:r>
        <w:rPr>
          <w:rFonts w:ascii="Times New Roman" w:hAnsi="Times New Roman"/>
          <w:b/>
          <w:i/>
          <w:color w:val="000000"/>
          <w:sz w:val="22"/>
        </w:rPr>
        <w:t>Cure Expiration Date</w:t>
      </w:r>
      <w:r>
        <w:rPr>
          <w:color w:val="000000"/>
        </w:rPr>
        <w:t>”</w:t>
      </w:r>
      <w:r>
        <w:rPr>
          <w:rFonts w:ascii="Times New Roman" w:hAnsi="Times New Roman"/>
          <w:color w:val="000000"/>
          <w:sz w:val="22"/>
        </w:rPr>
        <w:t>) subsequent to the date on which financial statements (together with the Compliance Certificate</w:t>
      </w:r>
      <w:r>
        <w:rPr>
          <w:color w:val="0000FF"/>
          <w:u w:val="single"/>
        </w:rPr>
        <w:t xml:space="preserve"> </w:t>
      </w:r>
      <w:r>
        <w:rPr>
          <w:rFonts w:ascii="Times New Roman" w:hAnsi="Times New Roman"/>
          <w:color w:val="0000FF"/>
          <w:sz w:val="22"/>
          <w:u w:val="single"/>
        </w:rPr>
        <w:t>or a Liquidity Compliance Certificate, as applicable</w:t>
      </w:r>
      <w:r>
        <w:rPr>
          <w:rFonts w:ascii="Times New Roman" w:hAnsi="Times New Roman"/>
          <w:color w:val="000000"/>
          <w:sz w:val="22"/>
        </w:rPr>
        <w:t xml:space="preserve">) with respect to the fiscal quarter </w:t>
      </w:r>
      <w:r>
        <w:rPr>
          <w:rFonts w:ascii="Times New Roman" w:hAnsi="Times New Roman"/>
          <w:color w:val="0000FF"/>
          <w:sz w:val="22"/>
          <w:u w:val="single"/>
        </w:rPr>
        <w:t xml:space="preserve">or month </w:t>
      </w:r>
      <w:r>
        <w:rPr>
          <w:rFonts w:ascii="Times New Roman" w:hAnsi="Times New Roman"/>
          <w:color w:val="000000"/>
          <w:sz w:val="22"/>
        </w:rPr>
        <w:t>for which such Financial Performance Covenant is being measured are required to be delivered, the Borrower shall have the right, but not the obligation, to cure any such Event of Default (a “</w:t>
      </w:r>
      <w:r>
        <w:rPr>
          <w:rFonts w:ascii="Times New Roman" w:hAnsi="Times New Roman"/>
          <w:b/>
          <w:i/>
          <w:color w:val="000000"/>
          <w:sz w:val="22"/>
        </w:rPr>
        <w:t>Cure Right</w:t>
      </w:r>
      <w:r>
        <w:rPr>
          <w:color w:val="000000"/>
        </w:rPr>
        <w:t>”</w:t>
      </w:r>
      <w:r>
        <w:rPr>
          <w:rFonts w:ascii="Times New Roman" w:hAnsi="Times New Roman"/>
          <w:color w:val="000000"/>
          <w:sz w:val="22"/>
        </w:rPr>
        <w:t>) by receiving cash contribution from its direct or indirect equity holders or from any issuance of Equity Interests of Borrower (such proceeds, the “</w:t>
      </w:r>
      <w:r>
        <w:rPr>
          <w:rFonts w:ascii="Times New Roman" w:hAnsi="Times New Roman"/>
          <w:b/>
          <w:i/>
          <w:color w:val="000000"/>
          <w:sz w:val="22"/>
        </w:rPr>
        <w:t>Cure Proceeds</w:t>
      </w:r>
      <w:r>
        <w:rPr>
          <w:color w:val="000000"/>
        </w:rPr>
        <w:t>”</w:t>
      </w:r>
      <w:r>
        <w:rPr>
          <w:rFonts w:ascii="Times New Roman" w:hAnsi="Times New Roman"/>
          <w:color w:val="000000"/>
          <w:sz w:val="22"/>
        </w:rPr>
        <w:t>), and upon the receipt by the Borrower of Cure Proceeds (such amount of Cure Proceeds being referred to as the “</w:t>
      </w:r>
      <w:r>
        <w:rPr>
          <w:rFonts w:ascii="Times New Roman" w:hAnsi="Times New Roman"/>
          <w:b/>
          <w:i/>
          <w:color w:val="000000"/>
          <w:sz w:val="22"/>
        </w:rPr>
        <w:t>Cure Amount</w:t>
      </w:r>
      <w:r>
        <w:rPr>
          <w:color w:val="000000"/>
        </w:rPr>
        <w:t>”</w:t>
      </w:r>
      <w:r>
        <w:rPr>
          <w:rFonts w:ascii="Times New Roman" w:hAnsi="Times New Roman"/>
          <w:color w:val="000000"/>
          <w:sz w:val="22"/>
        </w:rPr>
        <w:t xml:space="preserve">). Pursuant to the exercise by the Borrower of such Cure Right, such Financial Performance Covenants shall be recalculated giving effect to the following pro forma adjustments: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Liquidity</w:t>
      </w:r>
      <w:r>
        <w:rPr>
          <w:rFonts w:ascii="Times New Roman" w:hAnsi="Times New Roman"/>
          <w:strike/>
          <w:color w:val="FF0000"/>
          <w:sz w:val="22"/>
        </w:rPr>
        <w:t xml:space="preserve">, Free Cash Flow </w:t>
      </w:r>
      <w:r>
        <w:rPr>
          <w:rFonts w:ascii="Times New Roman" w:hAnsi="Times New Roman"/>
          <w:color w:val="000000"/>
          <w:sz w:val="22"/>
        </w:rPr>
        <w:t xml:space="preserve">and EBITDA shall be increased, solely for the purpose of determining the existence of an Event of Default under the applicable Financial Performance Covenants with respect to each period of four consecutive fiscal quarters that includes the fiscal quarter </w:t>
      </w:r>
      <w:r>
        <w:rPr>
          <w:rFonts w:ascii="Times New Roman" w:hAnsi="Times New Roman"/>
          <w:color w:val="0000FF"/>
          <w:sz w:val="22"/>
          <w:u w:val="single"/>
        </w:rPr>
        <w:t xml:space="preserve">or month, as applicable, </w:t>
      </w:r>
      <w:r>
        <w:rPr>
          <w:rFonts w:ascii="Times New Roman" w:hAnsi="Times New Roman"/>
          <w:color w:val="000000"/>
          <w:sz w:val="22"/>
        </w:rPr>
        <w:t xml:space="preserve">for which the Cure Right was exercised and not for any other purpose or period under this Agreement, by an amount equal to the Cure Amount; provided, that the prepayment of Indebtedness with the proceeds of such Cure Amount shall be given pro forma effect in each applicable fiscal quarter following the fiscal quarter </w:t>
      </w:r>
      <w:r>
        <w:rPr>
          <w:rFonts w:ascii="Times New Roman" w:hAnsi="Times New Roman"/>
          <w:color w:val="0000FF"/>
          <w:sz w:val="22"/>
          <w:u w:val="single"/>
        </w:rPr>
        <w:t xml:space="preserve">or month, as applicable </w:t>
      </w:r>
      <w:r>
        <w:rPr>
          <w:rFonts w:ascii="Times New Roman" w:hAnsi="Times New Roman"/>
          <w:color w:val="000000"/>
          <w:sz w:val="22"/>
        </w:rPr>
        <w:t>in respect of which the Cure Amount was received;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after giving effect to the foregoing recalculations, the Borrower shall then be in compliance with the requirements of the applicable Financial Performance Covenants, the Borrower shall be deemed to have satisfied the requirements of the applicable Financial Performance Covenants as of the relevant date of determination with the same effect as though there had been no failure to comply therewith at such date, and the applicable breach or default of the Financial Performance Covenants that had occurred shall be deemed cured for the purposes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furtherance of </w:t>
      </w: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rPr>
        <w:t xml:space="preserve">above, (i) no Default or Event of Default under </w:t>
      </w:r>
      <w:r>
        <w:rPr>
          <w:rFonts w:ascii="Times New Roman" w:hAnsi="Times New Roman"/>
          <w:color w:val="000000"/>
          <w:sz w:val="22"/>
          <w:u w:val="single"/>
        </w:rPr>
        <w:t>Section 6.10</w:t>
      </w:r>
      <w:r>
        <w:rPr>
          <w:rFonts w:ascii="Times New Roman" w:hAnsi="Times New Roman"/>
          <w:color w:val="000000"/>
          <w:sz w:val="20"/>
        </w:rPr>
        <w:t xml:space="preserve"> </w:t>
      </w:r>
      <w:r>
        <w:rPr>
          <w:rFonts w:ascii="Times New Roman" w:hAnsi="Times New Roman"/>
          <w:color w:val="000000"/>
          <w:sz w:val="22"/>
        </w:rPr>
        <w:t xml:space="preserve">shall exist until after the Cure Expiration Date and (ii) neither the Administrative Agent nor any Lender may exercise any rights or remedies under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 xml:space="preserve">(or under any other Loan Document) on the basis of any actual or purported Event of Default under </w:t>
      </w:r>
      <w:r>
        <w:rPr>
          <w:rFonts w:ascii="Times New Roman" w:hAnsi="Times New Roman"/>
          <w:color w:val="000000"/>
          <w:sz w:val="22"/>
          <w:u w:val="single"/>
        </w:rPr>
        <w:t>Section 6.10</w:t>
      </w:r>
      <w:r>
        <w:rPr>
          <w:rFonts w:ascii="Times New Roman" w:hAnsi="Times New Roman"/>
          <w:color w:val="000000"/>
          <w:sz w:val="20"/>
        </w:rPr>
        <w:t xml:space="preserve"> </w:t>
      </w:r>
      <w:r>
        <w:rPr>
          <w:rFonts w:ascii="Times New Roman" w:hAnsi="Times New Roman"/>
          <w:color w:val="000000"/>
          <w:sz w:val="22"/>
        </w:rPr>
        <w:t xml:space="preserve">until and unless the Cure Expiration Date has occurred without the Cure Amount having been received unless such Event of Default shall have been waived in accordance with the terms of this Agreement. Neither the Administrative Agent nor any Lender shall take any action to foreclose on, or take possession of, the Collateral, accelerate any Obligations, terminate any Commitments or otherwise exercise any remedies under any Loan Document or any applicable laws on the basis of a breach of </w:t>
      </w:r>
      <w:r>
        <w:rPr>
          <w:rFonts w:ascii="Times New Roman" w:hAnsi="Times New Roman"/>
          <w:color w:val="000000"/>
          <w:sz w:val="22"/>
          <w:u w:val="single"/>
        </w:rPr>
        <w:t>Section 6.10</w:t>
      </w:r>
      <w:r>
        <w:rPr>
          <w:rFonts w:ascii="Times New Roman" w:hAnsi="Times New Roman"/>
          <w:color w:val="000000"/>
          <w:sz w:val="20"/>
        </w:rPr>
        <w:t xml:space="preserve"> </w:t>
      </w:r>
      <w:r>
        <w:rPr>
          <w:rFonts w:ascii="Times New Roman" w:hAnsi="Times New Roman"/>
          <w:color w:val="000000"/>
          <w:sz w:val="22"/>
        </w:rPr>
        <w:t xml:space="preserve">(or as a direct result of consummation of any transaction pursuant to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that would be not permitted hereunder solely due to the continuance of a Default or Event of Default under </w:t>
      </w:r>
      <w:r>
        <w:rPr>
          <w:rFonts w:ascii="Times New Roman" w:hAnsi="Times New Roman"/>
          <w:color w:val="000000"/>
          <w:sz w:val="22"/>
          <w:u w:val="single"/>
        </w:rPr>
        <w:t>Section 6.10</w:t>
      </w:r>
      <w:r>
        <w:rPr>
          <w:rFonts w:ascii="Times New Roman" w:hAnsi="Times New Roman"/>
          <w:color w:val="000000"/>
          <w:sz w:val="20"/>
        </w:rPr>
        <w:t xml:space="preserve"> </w:t>
      </w:r>
      <w:r>
        <w:rPr>
          <w:rFonts w:ascii="Times New Roman" w:hAnsi="Times New Roman"/>
          <w:color w:val="000000"/>
          <w:sz w:val="22"/>
        </w:rPr>
        <w:t xml:space="preserve">or the failure to deliver a notice of default, solely in respect of a Default or Event of Default under </w:t>
      </w:r>
      <w:r>
        <w:rPr>
          <w:rFonts w:ascii="Times New Roman" w:hAnsi="Times New Roman"/>
          <w:color w:val="000000"/>
          <w:sz w:val="22"/>
          <w:u w:val="single"/>
        </w:rPr>
        <w:t>Section 6.10</w:t>
      </w:r>
      <w:r>
        <w:rPr>
          <w:rFonts w:ascii="Times New Roman" w:hAnsi="Times New Roman"/>
          <w:color w:val="000000"/>
          <w:sz w:val="20"/>
        </w:rPr>
        <w:t xml:space="preserve"> </w:t>
      </w:r>
      <w:r>
        <w:rPr>
          <w:rFonts w:ascii="Times New Roman" w:hAnsi="Times New Roman"/>
          <w:color w:val="000000"/>
          <w:sz w:val="22"/>
        </w:rPr>
        <w:t xml:space="preserve">as required pursuant to </w:t>
      </w:r>
      <w:r>
        <w:rPr>
          <w:rFonts w:ascii="Times New Roman" w:hAnsi="Times New Roman"/>
          <w:color w:val="000000"/>
          <w:sz w:val="22"/>
          <w:u w:val="single"/>
        </w:rPr>
        <w:t>Section 5.02(a)</w:t>
      </w:r>
      <w:r>
        <w:rPr>
          <w:rFonts w:ascii="Times New Roman" w:hAnsi="Times New Roman"/>
          <w:color w:val="000000"/>
          <w:sz w:val="22"/>
        </w:rPr>
        <w:t>), unless and until the Cure Expiration Date has occurred and the Borrower has not received the Cure Amount.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herein to the contrary, (i) there shall be no more than two Cure Rights in any period of four consecutive fiscal quarters, (ii) no Cure Amount may be greater than the amount required to cause the Borrower to be in compliance with any and all Financial Performance Covenants, (iii) there shall be no more than five Cure Rights in respect of each Financial Performance Covenant made on or before the Maturity Date, and (iv) this </w:t>
      </w: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rPr>
        <w:t>may not be relied on for purposes of calculating compliance with any covenants other than compliance with the Financial Performance Covenants and shall not result in any adjustment to any baskets or other amounts. At the request of the Borrower, the Cure Amount used to calculate Liquidity</w:t>
      </w:r>
      <w:r>
        <w:rPr>
          <w:rFonts w:ascii="Times New Roman" w:hAnsi="Times New Roman"/>
          <w:strike/>
          <w:color w:val="FF0000"/>
          <w:sz w:val="22"/>
        </w:rPr>
        <w:t xml:space="preserve">, Free Cash Flow </w:t>
      </w:r>
      <w:r>
        <w:rPr>
          <w:rFonts w:ascii="Times New Roman" w:hAnsi="Times New Roman"/>
          <w:color w:val="000000"/>
          <w:sz w:val="22"/>
        </w:rPr>
        <w:t xml:space="preserve">and EBITDA for one fiscal quarter </w:t>
      </w:r>
      <w:r>
        <w:rPr>
          <w:rFonts w:ascii="Times New Roman" w:hAnsi="Times New Roman"/>
          <w:color w:val="0000FF"/>
          <w:sz w:val="22"/>
          <w:u w:val="single"/>
        </w:rPr>
        <w:t xml:space="preserve">or month, as applicable, </w:t>
      </w:r>
      <w:r>
        <w:rPr>
          <w:rFonts w:ascii="Times New Roman" w:hAnsi="Times New Roman"/>
          <w:color w:val="000000"/>
          <w:sz w:val="22"/>
        </w:rPr>
        <w:t>shall be used and included when calculating Liquidity</w:t>
      </w:r>
      <w:r>
        <w:rPr>
          <w:rFonts w:ascii="Times New Roman" w:hAnsi="Times New Roman"/>
          <w:strike/>
          <w:color w:val="FF0000"/>
          <w:sz w:val="22"/>
        </w:rPr>
        <w:t xml:space="preserve">, Free Cash Flow </w:t>
      </w:r>
      <w:r>
        <w:rPr>
          <w:rFonts w:ascii="Times New Roman" w:hAnsi="Times New Roman"/>
          <w:color w:val="000000"/>
          <w:sz w:val="22"/>
        </w:rPr>
        <w:t>and EBITDA for each Test Period that includes such fiscal quarter</w:t>
      </w:r>
      <w:r>
        <w:rPr>
          <w:rFonts w:ascii="Times New Roman" w:hAnsi="Times New Roman"/>
          <w:color w:val="0000FF"/>
          <w:sz w:val="20"/>
          <w:u w:val="single"/>
        </w:rPr>
        <w:t xml:space="preserve"> </w:t>
      </w:r>
      <w:r>
        <w:rPr>
          <w:rFonts w:ascii="Times New Roman" w:hAnsi="Times New Roman"/>
          <w:color w:val="0000FF"/>
          <w:sz w:val="22"/>
          <w:u w:val="single"/>
        </w:rPr>
        <w:t>or month, as applicable</w:t>
      </w:r>
      <w:r>
        <w:rPr>
          <w:rFonts w:ascii="Times New Roman" w:hAnsi="Times New Roman"/>
          <w:color w:val="000000"/>
          <w:sz w:val="22"/>
        </w:rPr>
        <w:t>.</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XIII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THE ADMINISTRATIVE AGENT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13.01</w:t>
      </w:r>
    </w:p>
    <w:p>
      <w:pPr>
        <w:pStyle w:val="TextBody"/>
        <w:bidi w:val="0"/>
        <w:spacing w:before="0" w:after="240"/>
        <w:jc w:val="both"/>
        <w:rPr/>
      </w:pPr>
      <w:r>
        <w:rPr>
          <w:rFonts w:ascii="Times New Roman" w:hAnsi="Times New Roman"/>
          <w:color w:val="000000"/>
          <w:sz w:val="22"/>
          <w:u w:val="single"/>
        </w:rPr>
        <w:t>Authorization and Action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performing its functions and duties hereunder and under the other Loan Documents, the Administrative Agent is acting solely on behalf of the Lenders and the Issuing Banks, any other Secured Party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may perform any of its duties and exercise its rights and powers hereunder or under any other Loan Document by or through any one or more sub-agents appointed by the Administrative Agent (other than Excluded Affiliates).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bad faith, or willful misconduct in the selection of such sub-agent.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Lead Arrangers shall have no obligations or duties whatsoever in such capacity under this Agreement or any other Loan Document and shall incur no liability hereunder to the Lenders or thereunder in such capacity, but all such persons shall have the benefit of the indemnities provided for hereunder.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 xml:space="preserve">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w:t>
      </w:r>
      <w:r>
        <w:rPr>
          <w:rFonts w:ascii="Times New Roman" w:hAnsi="Times New Roman"/>
          <w:color w:val="000000"/>
          <w:sz w:val="22"/>
          <w:u w:val="single"/>
        </w:rPr>
        <w:t>Sections 2.12</w:t>
      </w:r>
      <w:r>
        <w:rPr>
          <w:rFonts w:ascii="Times New Roman" w:hAnsi="Times New Roman"/>
          <w:color w:val="000000"/>
          <w:sz w:val="22"/>
        </w:rPr>
        <w:t xml:space="preserve">, </w:t>
      </w:r>
      <w:r>
        <w:rPr>
          <w:rFonts w:ascii="Times New Roman" w:hAnsi="Times New Roman"/>
          <w:color w:val="000000"/>
          <w:sz w:val="22"/>
          <w:u w:val="single"/>
        </w:rPr>
        <w:t>2.13</w:t>
      </w:r>
      <w:r>
        <w:rPr>
          <w:rFonts w:ascii="Times New Roman" w:hAnsi="Times New Roman"/>
          <w:color w:val="000000"/>
          <w:sz w:val="22"/>
        </w:rPr>
        <w:t xml:space="preserve">, </w:t>
      </w:r>
      <w:r>
        <w:rPr>
          <w:rFonts w:ascii="Times New Roman" w:hAnsi="Times New Roman"/>
          <w:color w:val="000000"/>
          <w:sz w:val="22"/>
          <w:u w:val="single"/>
        </w:rPr>
        <w:t>2.15</w:t>
      </w:r>
      <w:r>
        <w:rPr>
          <w:rFonts w:ascii="Times New Roman" w:hAnsi="Times New Roman"/>
          <w:color w:val="000000"/>
          <w:sz w:val="22"/>
        </w:rPr>
        <w:t xml:space="preserve">, </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9.03</w:t>
      </w:r>
      <w:r>
        <w:rPr>
          <w:rFonts w:ascii="Times New Roman" w:hAnsi="Times New Roman"/>
          <w:color w:val="000000"/>
          <w:sz w:val="22"/>
        </w:rPr>
        <w:t>) allowed in such judicial proceeding;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collect and receive any monies or other property payable or deliverable on any such claims and to distribute the same;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Times New Roman" w:hAnsi="Times New Roman"/>
          <w:color w:val="000000"/>
          <w:sz w:val="22"/>
          <w:u w:val="single"/>
        </w:rPr>
        <w:t>Section 9.03</w:t>
      </w:r>
      <w:r>
        <w:rPr>
          <w:rFonts w:ascii="Times New Roman" w:hAnsi="Times New Roman"/>
          <w:color w:val="000000"/>
          <w:sz w:val="22"/>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of this Article are solely for the benefit of the Administrative Agent, the Lenders and the Issuing Banks, except in respect of Sections 8.01, 8.03, 8.05, 8.06, 8.07, 8.08, and 8.10,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13.02</w:t>
      </w:r>
    </w:p>
    <w:p>
      <w:pPr>
        <w:pStyle w:val="TextBody"/>
        <w:bidi w:val="0"/>
        <w:spacing w:before="0" w:after="240"/>
        <w:jc w:val="both"/>
        <w:rPr/>
      </w:pPr>
      <w:r>
        <w:rPr>
          <w:rFonts w:ascii="Times New Roman" w:hAnsi="Times New Roman"/>
          <w:color w:val="000000"/>
          <w:sz w:val="22"/>
          <w:u w:val="single"/>
        </w:rPr>
        <w:t>Administrative Agent’s Reliance, Indemnification, Etc.</w:t>
      </w:r>
      <w:r>
        <w:rPr>
          <w:color w:val="000000"/>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bad faith,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emailed pdf or any other electronic means that reproduces an image of an actual executed signature page) or for any failure of any Loan Party to perform its obligations hereunder or thereunder.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The Administrative Agent shall be deemed not to have knowledge of any (i) notice of any of the events or circumstances set forth or described in </w:t>
      </w:r>
      <w:r>
        <w:rPr>
          <w:rFonts w:ascii="Times New Roman" w:hAnsi="Times New Roman"/>
          <w:color w:val="000000"/>
          <w:sz w:val="22"/>
          <w:u w:val="single"/>
        </w:rPr>
        <w:t>Section 5.02</w:t>
      </w:r>
      <w:r>
        <w:rPr>
          <w:color w:val="000000"/>
        </w:rPr>
        <w:t xml:space="preserve"> </w:t>
      </w:r>
      <w:r>
        <w:rPr>
          <w:rFonts w:ascii="Times New Roman" w:hAnsi="Times New Roman"/>
          <w:color w:val="000000"/>
          <w:sz w:val="22"/>
        </w:rPr>
        <w:t>unless and until written notice thereof stating that it is a “</w:t>
      </w:r>
      <w:r>
        <w:rPr>
          <w:rFonts w:ascii="Times New Roman" w:hAnsi="Times New Roman"/>
          <w:color w:val="000000"/>
          <w:sz w:val="22"/>
          <w:u w:val="single"/>
        </w:rPr>
        <w:t>notice under Section 5.02</w:t>
      </w:r>
      <w:r>
        <w:rPr>
          <w:color w:val="000000"/>
        </w:rPr>
        <w:t xml:space="preserve">” </w:t>
      </w:r>
      <w:r>
        <w:rPr>
          <w:rFonts w:ascii="Times New Roman" w:hAnsi="Times New Roman"/>
          <w:color w:val="000000"/>
          <w:sz w:val="22"/>
        </w:rPr>
        <w:t>in respect of this Agreement and identifying the specific clause under said Section is given to the Administrative Agent by the Borrower, or (ii) notice of any Default or Event of Default unless and until written notice thereof (stating that it is a “</w:t>
      </w:r>
      <w:r>
        <w:rPr>
          <w:rFonts w:ascii="Times New Roman" w:hAnsi="Times New Roman"/>
          <w:color w:val="000000"/>
          <w:sz w:val="22"/>
          <w:u w:val="single"/>
        </w:rPr>
        <w:t>notice of Default</w:t>
      </w:r>
      <w:r>
        <w:rPr>
          <w:color w:val="000000"/>
        </w:rPr>
        <w:t xml:space="preserve">” </w:t>
      </w:r>
      <w:r>
        <w:rPr>
          <w:rFonts w:ascii="Times New Roman" w:hAnsi="Times New Roman"/>
          <w:color w:val="000000"/>
          <w:sz w:val="22"/>
        </w:rPr>
        <w:t>or a “</w:t>
      </w:r>
      <w:r>
        <w:rPr>
          <w:rFonts w:ascii="Times New Roman" w:hAnsi="Times New Roman"/>
          <w:color w:val="000000"/>
          <w:sz w:val="22"/>
          <w:u w:val="single"/>
        </w:rPr>
        <w:t>notice of an Event of Default</w:t>
      </w:r>
      <w:r>
        <w:rPr>
          <w:color w:val="000000"/>
        </w:rPr>
        <w:t>”</w:t>
      </w:r>
      <w:r>
        <w:rPr>
          <w:rFonts w:ascii="Times New Roman" w:hAnsi="Times New Roman"/>
          <w:color w:val="000000"/>
          <w:sz w:val="22"/>
        </w:rPr>
        <w:t xml:space="preserve">)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Without limiting the foregoing, the Administrative Agent (i) may treat the payee of any promissory note as its holder until such promissory note has been assigned in accordance with </w:t>
      </w:r>
      <w:r>
        <w:rPr>
          <w:rFonts w:ascii="Times New Roman" w:hAnsi="Times New Roman"/>
          <w:color w:val="000000"/>
          <w:sz w:val="22"/>
          <w:u w:val="single"/>
        </w:rPr>
        <w:t>Section 9.04</w:t>
      </w:r>
      <w:r>
        <w:rPr>
          <w:rFonts w:ascii="Times New Roman" w:hAnsi="Times New Roman"/>
          <w:color w:val="000000"/>
          <w:sz w:val="22"/>
        </w:rPr>
        <w:t xml:space="preserve">, (ii) may rely on the Register to the extent set forth in </w:t>
      </w:r>
      <w:r>
        <w:rPr>
          <w:rFonts w:ascii="Times New Roman" w:hAnsi="Times New Roman"/>
          <w:color w:val="000000"/>
          <w:sz w:val="22"/>
          <w:u w:val="single"/>
        </w:rPr>
        <w:t>Section 9.04(b)</w:t>
      </w:r>
      <w:r>
        <w:rPr>
          <w:rFonts w:ascii="Times New Roman" w:hAnsi="Times New Roman"/>
          <w:color w:val="000000"/>
          <w:sz w:val="22"/>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in good faith,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13.03</w:t>
      </w:r>
    </w:p>
    <w:p>
      <w:pPr>
        <w:pStyle w:val="TextBody"/>
        <w:bidi w:val="0"/>
        <w:spacing w:before="0" w:after="240"/>
        <w:jc w:val="both"/>
        <w:rPr/>
      </w:pPr>
      <w:r>
        <w:rPr>
          <w:rFonts w:ascii="Times New Roman" w:hAnsi="Times New Roman"/>
          <w:color w:val="000000"/>
          <w:sz w:val="22"/>
          <w:u w:val="single"/>
        </w:rPr>
        <w:t>Posting of Communications</w:t>
      </w:r>
      <w:r>
        <w:rPr>
          <w:rFonts w:ascii="Times New Roman" w:hAnsi="Times New Roman"/>
          <w:color w:val="000000"/>
          <w:sz w:val="22"/>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The Borrower agrees that the Administrative Agent may, but shall not be obligated to, make any Communications available to the Lenders and the Issuing Banks by posting the Communications on IntraLinksTM, DebtDomain, SyndTrak, ClearPar or any other electronic platform chosen by the Administrative Agent to be its electronic transmission system (the “</w:t>
      </w:r>
      <w:r>
        <w:rPr>
          <w:rFonts w:ascii="Times New Roman" w:hAnsi="Times New Roman"/>
          <w:b/>
          <w:i/>
          <w:color w:val="000000"/>
          <w:sz w:val="22"/>
        </w:rPr>
        <w:t>Approved Electronic Platform</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LEAD ARRANGERS OR ANY OF THEIR RESPECTIVE RELATED PARTIES (COLLECTIVELY, “</w:t>
      </w:r>
      <w:r>
        <w:rPr>
          <w:rFonts w:ascii="Times New Roman" w:hAnsi="Times New Roman"/>
          <w:b/>
          <w:i/>
          <w:color w:val="000000"/>
          <w:sz w:val="22"/>
        </w:rPr>
        <w:t>APPLICABLE PARTIES</w:t>
      </w:r>
      <w:r>
        <w:rPr>
          <w:color w:val="000000"/>
        </w:rPr>
        <w:t>”</w:t>
      </w:r>
      <w:r>
        <w:rPr>
          <w:rFonts w:ascii="Times New Roman" w:hAnsi="Times New Roman"/>
          <w:color w:val="000000"/>
          <w:sz w:val="22"/>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EXCEPT TO THE EXTENT THAT SUCH LOSSES, CLAIMS, DAMAGES, LIABILITIES OR EXPENSES ARE DETERMINED BY A COURT OF COMPETENT JURISDICTION BY A FINAL AND NON-APPEALABLE JUDGMENT TO HAVE RESULTED FROM THE GROSS NEGLIGENCE, BAD FAITH, MATERIAL BREACH OR WILLFUL MISCONDUCT OF SUCH APPLICABLE PARTY.</w:t>
      </w:r>
    </w:p>
    <w:p>
      <w:pPr>
        <w:pStyle w:val="TextBody"/>
        <w:bidi w:val="0"/>
        <w:spacing w:before="0" w:after="240"/>
        <w:jc w:val="both"/>
        <w:rPr/>
      </w:pPr>
      <w:r>
        <w:rPr>
          <w:color w:val="000000"/>
        </w:rPr>
        <w:t>“</w:t>
      </w:r>
      <w:r>
        <w:rPr>
          <w:rFonts w:ascii="Times New Roman" w:hAnsi="Times New Roman"/>
          <w:b/>
          <w:i/>
          <w:color w:val="000000"/>
          <w:sz w:val="22"/>
        </w:rPr>
        <w:t>Communications</w:t>
      </w:r>
      <w:r>
        <w:rPr>
          <w:rFonts w:ascii="Times New Roman" w:hAnsi="Times New Roman"/>
          <w:color w:val="000000"/>
          <w:sz w:val="20"/>
        </w:rPr>
        <w:t xml:space="preserve">” </w:t>
      </w:r>
      <w:r>
        <w:rPr>
          <w:rFonts w:ascii="Times New Roman" w:hAnsi="Times New Roman"/>
          <w:color w:val="000000"/>
          <w:sz w:val="22"/>
        </w:rPr>
        <w:t>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13.04</w:t>
      </w:r>
    </w:p>
    <w:p>
      <w:pPr>
        <w:pStyle w:val="TextBody"/>
        <w:bidi w:val="0"/>
        <w:spacing w:before="0" w:after="240"/>
        <w:jc w:val="both"/>
        <w:rPr/>
      </w:pPr>
      <w:r>
        <w:rPr>
          <w:rFonts w:ascii="Times New Roman" w:hAnsi="Times New Roman"/>
          <w:color w:val="000000"/>
          <w:sz w:val="22"/>
          <w:u w:val="single"/>
        </w:rPr>
        <w:t>The Administrative Agent Individually</w:t>
      </w:r>
      <w:r>
        <w:rPr>
          <w:rFonts w:ascii="Times New Roman" w:hAnsi="Times New Roman"/>
          <w:color w:val="000000"/>
          <w:sz w:val="22"/>
        </w:rPr>
        <w:t>. With respect to its Commitment, Loans (including Swingline Loans), Issuing Bank Sublimit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“Swingline Lender”, “Lenders”, “Required Lenders” and any similar terms shall, unless the context clearly otherwise indicates, include the Administrative Agent in its individual capacity as a Lender, Issuing Bank, Swingline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13.05</w:t>
      </w:r>
    </w:p>
    <w:p>
      <w:pPr>
        <w:pStyle w:val="TextBody"/>
        <w:bidi w:val="0"/>
        <w:spacing w:before="0" w:after="240"/>
        <w:jc w:val="both"/>
        <w:rPr/>
      </w:pPr>
      <w:r>
        <w:rPr>
          <w:rFonts w:ascii="Times New Roman" w:hAnsi="Times New Roman"/>
          <w:color w:val="000000"/>
          <w:sz w:val="22"/>
          <w:u w:val="single"/>
        </w:rPr>
        <w:t>Successor Administrative Agent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Administrative Agent may resign at any time by giving thirty (30) days’ prior written notice thereof to the Lenders, the Issuing Banks and the Borrower, whether or not a successor Administrative Agent has been appointed. If the Administrative Agent is a Defaulting Lender or is in material breach of its obligations under this Agreement, the Borrower may remove such Lender from such role upon 15 days’ notice to the Lenders and the Administrative Agent, as applicable. (i) Upon any such resignation, the Administrative Agent may appoint one of its Affiliates (other than Excluded Affiliates) acting through an office in the United States as a successor Administrative Agent and (ii) upon such removal or if the Administrative Agent has not appointed one of its Affiliates acting through an office in the United States, as a successor Administrative Agent pursuant to clause (i) above,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written notice of resignation or the Borrower’s giving of written notice of removal of the Administrative Agent, then the Borrower may, on behalf of the Lenders and the Issuing Banks, appoint a successor Administrative Agent, which shall be a bank with an office in New York, New York or an Affiliate of any such bank. In any case, such appointment shall be subject to the prior written approval of the Borrower (which approval may not be unreasonably withheld and shall not be required while an Event of Default under </w:t>
      </w:r>
      <w:r>
        <w:rPr>
          <w:rFonts w:ascii="Times New Roman" w:hAnsi="Times New Roman"/>
          <w:color w:val="000000"/>
          <w:sz w:val="22"/>
          <w:u w:val="single"/>
        </w:rPr>
        <w:t>Section 7.01(a)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color w:val="000000"/>
        </w:rPr>
        <w:t xml:space="preserve"> </w:t>
      </w:r>
      <w:r>
        <w:rPr>
          <w:rFonts w:ascii="Times New Roman" w:hAnsi="Times New Roman"/>
          <w:color w:val="000000"/>
          <w:sz w:val="22"/>
        </w:rPr>
        <w:t xml:space="preserve">has occurred and is continuing). Upon the acceptance of any appointment as Administrative Agent by a successor Administrative Agent, such successor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Notwithstanding paragraph (a) of this Section, in the event no successor Administrative Agent shall have been so appointed and shall have accepted such appointment within thirty (30) days after the retiring Administrative Agent gives written notice of its intent to resign or after the Borrower’s giving of written notice of removal of the Administrative Agent, as applicable, the retiring Administrative Agent may give written notice of the effectiveness of its resignation or the Borrower may give written notice of the effectiveness of the Administrative Agent’s removal to the Lenders, as applicable, the Issuing Banks and the Borrower, whereupon, on the date of effectiveness of such resignation or removal stated in such notice, (i) the retiring or removed Administrative Agent shall be discharged from its duties and obligations hereunder and under the other Loan Documents; </w:t>
      </w:r>
      <w:r>
        <w:rPr>
          <w:rFonts w:ascii="Times New Roman" w:hAnsi="Times New Roman"/>
          <w:i/>
          <w:color w:val="000000"/>
          <w:sz w:val="22"/>
        </w:rPr>
        <w:t xml:space="preserve">provided </w:t>
      </w:r>
      <w:r>
        <w:rPr>
          <w:rFonts w:ascii="Times New Roman" w:hAnsi="Times New Roman"/>
          <w:color w:val="000000"/>
          <w:sz w:val="22"/>
        </w:rPr>
        <w:t xml:space="preserve">that, solely for purposes of maintaining any security interest granted to the Administrative Agent under any Collateral Document for the benefit of the Secured Parties, the retiring or removed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or removed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or removed Administrative Agent; </w:t>
      </w:r>
      <w:r>
        <w:rPr>
          <w:rFonts w:ascii="Times New Roman" w:hAnsi="Times New Roman"/>
          <w:i/>
          <w:color w:val="000000"/>
          <w:sz w:val="22"/>
        </w:rPr>
        <w:t xml:space="preserve">provided </w:t>
      </w:r>
      <w:r>
        <w:rPr>
          <w:rFonts w:ascii="Times New Roman" w:hAnsi="Times New Roman"/>
          <w:color w:val="000000"/>
          <w:sz w:val="22"/>
        </w:rPr>
        <w:t xml:space="preserve">that (A) all payments required to be made hereunder or under any other Loan Document to the Administrative Agent for the account of any Person other than the Administrative Agent shall be made directly to such Person (it being understood that the fees payable by the Borrower to a successor Administrative Agent shall be the same as those payable to its predecessor unless otherwise agreed between the Borrower and such successor) and (B) all notices and other communications required or contemplated to be given or made to the Administrative Agent shall directly be given or made to each Lender and each Issuing Bank. Following the effectiveness of the Administrative Agent’s resignation or removal from its capacity as such, the provisions of this Article, </w:t>
      </w:r>
      <w:r>
        <w:rPr>
          <w:rFonts w:ascii="Times New Roman" w:hAnsi="Times New Roman"/>
          <w:color w:val="000000"/>
          <w:sz w:val="22"/>
          <w:u w:val="single"/>
        </w:rPr>
        <w:t>Section 2.17(d)</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9.03</w:t>
      </w:r>
      <w:r>
        <w:rPr>
          <w:rFonts w:ascii="Times New Roman" w:hAnsi="Times New Roman"/>
          <w:color w:val="000000"/>
          <w:sz w:val="22"/>
        </w:rPr>
        <w:t>, as well as any exculpatory, reimbursement and indemnification provisions set forth in any other Loan Document,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and in respect of the matters referred to in the proviso under clause (i) above.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13.06</w:t>
      </w:r>
    </w:p>
    <w:p>
      <w:pPr>
        <w:pStyle w:val="TextBody"/>
        <w:bidi w:val="0"/>
        <w:spacing w:before="0" w:after="240"/>
        <w:jc w:val="both"/>
        <w:rPr/>
      </w:pPr>
      <w:r>
        <w:rPr>
          <w:rFonts w:ascii="Times New Roman" w:hAnsi="Times New Roman"/>
          <w:color w:val="000000"/>
          <w:sz w:val="22"/>
          <w:u w:val="single"/>
        </w:rPr>
        <w:t>Acknowledgements of Lenders and Issuing Banks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pPr>
      <w:r>
        <w:rPr>
          <w:rFonts w:ascii="Times New Roman" w:hAnsi="Times New Roman"/>
          <w:color w:val="000000"/>
          <w:sz w:val="22"/>
        </w:rPr>
        <w:t>Each Lender hereby agrees that (x) if the Administrative Agent notifies such Lender that the Administrative Agent has determined in its reasonable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b/>
          <w:i/>
          <w:color w:val="000000"/>
          <w:sz w:val="22"/>
        </w:rPr>
        <w:t>Payment</w:t>
      </w:r>
      <w:r>
        <w:rPr>
          <w:color w:val="000000"/>
        </w:rPr>
        <w:t>”</w:t>
      </w:r>
      <w:r>
        <w:rPr>
          <w:rFonts w:ascii="Times New Roman" w:hAnsi="Times New Roman"/>
          <w:color w:val="000000"/>
          <w:sz w:val="22"/>
        </w:rPr>
        <w:t xml:space="preserve">)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hAnsi="Times New Roman"/>
          <w:color w:val="000000"/>
          <w:sz w:val="22"/>
          <w:u w:val="single"/>
        </w:rPr>
        <w:t>Section 8.06</w:t>
      </w:r>
      <w:r>
        <w:rPr>
          <w:rFonts w:ascii="Times New Roman" w:hAnsi="Times New Roman"/>
          <w:color w:val="000000"/>
          <w:sz w:val="22"/>
        </w:rPr>
        <w:t>(c) shall be conclusive, absent manifest error.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pPr>
      <w:r>
        <w:rPr>
          <w:rFonts w:ascii="Times New Roman" w:hAnsi="Times New Roman"/>
          <w:color w:val="000000"/>
          <w:sz w:val="22"/>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b/>
          <w:i/>
          <w:color w:val="000000"/>
          <w:sz w:val="22"/>
        </w:rPr>
        <w:t>Payment Notice</w:t>
      </w:r>
      <w:r>
        <w:rPr>
          <w:color w:val="000000"/>
        </w:rPr>
        <w:t>”</w:t>
      </w:r>
      <w:r>
        <w:rPr>
          <w:rFonts w:ascii="Times New Roman" w:hAnsi="Times New Roman"/>
          <w:color w:val="000000"/>
          <w:sz w:val="22"/>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and each other Loan Party hereby agrees that in the event an erroneous Payment (or portion thereof) are not recovered from any Lender that has received such Payment (or portion thereof) for any reason, the Administrative Agent shall be subrogated to all the rights of such Lender with respect to such amount. Each Lender hereby further agrees that the Borrower and each other Loan Party shall not be liable for any damages arising from any Payments described in this Section 8.06(c).</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pPr>
      <w:r>
        <w:rPr>
          <w:rFonts w:ascii="Times New Roman" w:hAnsi="Times New Roman"/>
          <w:color w:val="000000"/>
          <w:sz w:val="22"/>
        </w:rPr>
        <w:t xml:space="preserve">Each Lender’s obligations under this </w:t>
      </w:r>
      <w:r>
        <w:rPr>
          <w:rFonts w:ascii="Times New Roman" w:hAnsi="Times New Roman"/>
          <w:color w:val="000000"/>
          <w:sz w:val="22"/>
          <w:u w:val="single"/>
        </w:rPr>
        <w:t>Section 8.06(c)</w:t>
      </w:r>
      <w:r>
        <w:rPr>
          <w:color w:val="000000"/>
        </w:rPr>
        <w:t xml:space="preserve"> </w:t>
      </w:r>
      <w:r>
        <w:rPr>
          <w:rFonts w:ascii="Times New Roman" w:hAnsi="Times New Roman"/>
          <w:color w:val="000000"/>
          <w:sz w:val="22"/>
        </w:rPr>
        <w:t>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Lenders acknowledge that there may be a constant flow of information (including information which may be subject to confidentiality obligations in favor of the Loan Parties) between the Loan Parties and their Affiliates, on the one hand, and Wells Fargo and its Affiliates, on the other hand. Without limiting the foregoing, the Loan Parties or their Affiliates may provide information, including updates to previously provided information to Wells Fargo and/or its Affiliates acting in different capacities, including as Lender, lead bank, arranger or potential securities investor, independent of such entity’s role as administrative agent hereunder. The Lenders acknowledge that neither Wells Fargo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 be required to) be shared by the Administrative Agent with one or more Lenders, or any formal or informal committee or ad hoc group of such Lenders, including at the direction of a Loan Party.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13.07</w:t>
      </w:r>
    </w:p>
    <w:p>
      <w:pPr>
        <w:pStyle w:val="TextBody"/>
        <w:bidi w:val="0"/>
        <w:spacing w:before="0" w:after="240"/>
        <w:jc w:val="both"/>
        <w:rPr/>
      </w:pPr>
      <w:r>
        <w:rPr>
          <w:rFonts w:ascii="Times New Roman" w:hAnsi="Times New Roman"/>
          <w:color w:val="000000"/>
          <w:sz w:val="22"/>
          <w:u w:val="single"/>
        </w:rPr>
        <w:t>Collateral Matters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Except with respect to the exercise of setoff rights in accordance with </w:t>
      </w:r>
      <w:r>
        <w:rPr>
          <w:rFonts w:ascii="Times New Roman" w:hAnsi="Times New Roman"/>
          <w:color w:val="000000"/>
          <w:sz w:val="22"/>
          <w:u w:val="single"/>
        </w:rPr>
        <w:t>Section 9.08</w:t>
      </w:r>
      <w:r>
        <w:rPr>
          <w:color w:val="000000"/>
        </w:rPr>
        <w:t xml:space="preserve"> </w:t>
      </w:r>
      <w:r>
        <w:rPr>
          <w:rFonts w:ascii="Times New Roman" w:hAnsi="Times New Roman"/>
          <w:color w:val="000000"/>
          <w:sz w:val="22"/>
        </w:rPr>
        <w:t>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furtherance of the foregoing and not in limitation thereof, no arrangements in respect of Banking Services the obligations under which constitute Banking Services Obligations and no Swap Agreement the obligations under which constitute Swap Agreement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The Secured Parties irrevocably authorize the Administrative Agent to (and the Administrative Agent shall) (w) to subordinate any Lien on any property granted to or held by the Administrative Agent under any Loan Document to the holder of any Permitted Lien pursuant to clauses (b), (c), (d), (e), (f), (g), (h), (m), (r), (s) and (t) of the definition thereof, (x) to enter into and sign for and on behalf of the Lenders as Secured Parties the Collateral Documents for the benefit of the Lenders and the other Secured Parties, (y) to automatically release any Lien on any property granted to or held by the collateral agent under any Loan Document (i) upon termination of the Commitments and payment in full of all Obligations (other than contingent indemnification obligations not then due) and the expiration or termination of all Letters of Credit (other than Letters of Credit which have been Cash Collateralized or as to which other arrangements reasonably satisfactory to the Administrative Agent and the Issuing Bank shall have been made), (ii) at the time the property subject to such Lien is disposed or to be disposed as part of or in connection with any Disposition permitted hereunder to a Person that is not a Loan Party, (iii) if the release of such Lien is approved, authorized or ratified in writing by the Required Lenders or a greater percentage of Lenders required hereunder, (iv) such property constitutes Excluded Property, (v) to the extent provided in the Collateral Documents or an Acceptable Subordination or Intercreditor Agreement, or (vi) if the property subject to such Lien is owned by a Guarantor, upon release of such Guarantor from its obligations under its Guaranty pursuant to clause (z), and (z) to automatically release any Subsidiary Guarantor (other than the Borrower) from its obligations under the Guaranty if such Person ceases to be a Subsidiary or becomes an Excluded Subsidiary as a result of a transaction or designation permitted hereunder, in each case subject to </w:t>
      </w:r>
      <w:r>
        <w:rPr>
          <w:rFonts w:ascii="Times New Roman" w:hAnsi="Times New Roman"/>
          <w:color w:val="000000"/>
          <w:sz w:val="22"/>
          <w:u w:val="single"/>
        </w:rPr>
        <w:t>Section 10.14(b)</w:t>
      </w:r>
      <w:r>
        <w:rPr>
          <w:rFonts w:ascii="Times New Roman" w:hAnsi="Times New Roman"/>
          <w:color w:val="000000"/>
          <w:sz w:val="22"/>
        </w:rPr>
        <w:t xml:space="preserve">. The Administrative Agent shall not be responsible for or have a duty to ascertain or inquire into any representation or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13.08</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Credit Bidding</w:t>
      </w:r>
    </w:p>
    <w:p>
      <w:pPr>
        <w:pStyle w:val="TextBody"/>
        <w:bidi w:val="0"/>
        <w:spacing w:before="0" w:after="240"/>
        <w:jc w:val="both"/>
        <w:rPr>
          <w:rFonts w:ascii="Times New Roman" w:hAnsi="Times New Roman"/>
          <w:sz w:val="20"/>
        </w:rPr>
      </w:pPr>
      <w:r>
        <w:rPr>
          <w:rFonts w:ascii="Times New Roman" w:hAnsi="Times New Roman"/>
          <w:color w:val="000000"/>
          <w:sz w:val="22"/>
        </w:rPr>
        <w:t>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hAnsi="Times New Roman"/>
          <w:i/>
          <w:color w:val="000000"/>
          <w:sz w:val="22"/>
        </w:rPr>
        <w:t xml:space="preserve">provided </w:t>
      </w:r>
      <w:r>
        <w:rPr>
          <w:rFonts w:ascii="Times New Roman" w:hAnsi="Times New Roman"/>
          <w:color w:val="000000"/>
          <w:sz w:val="22"/>
        </w:rPr>
        <w:t xml:space="preserve">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formation of any acquisition vehicle, the formulation or submission of any credit bid or the consummation of the transactions contemplated by such credit bid.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13.09</w:t>
      </w:r>
    </w:p>
    <w:p>
      <w:pPr>
        <w:pStyle w:val="TextBody"/>
        <w:bidi w:val="0"/>
        <w:spacing w:before="0" w:after="240"/>
        <w:jc w:val="both"/>
        <w:rPr/>
      </w:pPr>
      <w:r>
        <w:rPr>
          <w:rFonts w:ascii="Times New Roman" w:hAnsi="Times New Roman"/>
          <w:color w:val="000000"/>
          <w:sz w:val="22"/>
          <w:u w:val="single"/>
        </w:rPr>
        <w:t>Certain ERISA Matters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or any other Loan Party, that at least one of the following is and will be true: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Lender is not using “plan assets” (within the meaning of the Plan Asset Regulations) of one or more Benefit Plans in connection with the Loans, the Letters of Credit or the Commitments,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the conditions for exemptive relief are satisfied in connection with,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the Borrower or any other Loan Party, that none of the Administrative Agent, or the Lead Arrangers or any of their respective Affiliates is a fiduciary with respect to the Collateral or the assets of such Lender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and the Lead Arrangers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13.10</w:t>
      </w:r>
    </w:p>
    <w:p>
      <w:pPr>
        <w:pStyle w:val="TextBody"/>
        <w:bidi w:val="0"/>
        <w:spacing w:before="0" w:after="240"/>
        <w:jc w:val="both"/>
        <w:rPr/>
      </w:pPr>
      <w:r>
        <w:rPr>
          <w:rFonts w:ascii="Times New Roman" w:hAnsi="Times New Roman"/>
          <w:color w:val="000000"/>
          <w:sz w:val="22"/>
          <w:u w:val="single"/>
        </w:rPr>
        <w:t>Subordination and Intercreditor Agreements</w:t>
      </w:r>
      <w:r>
        <w:rPr>
          <w:rFonts w:ascii="Times New Roman" w:hAnsi="Times New Roman"/>
          <w:color w:val="000000"/>
          <w:sz w:val="22"/>
        </w:rPr>
        <w:t>. The Administrative Agent is authorized and instructed by the Lenders and each other Secured Party to, and shall, enter into any Acceptable Subordination or Intercreditor Agreement contemplated hereby with respect to any Indebtedness (i) that is (A) required or permitted hereunder to be subordinated in right of payment or with respect to security and/or (B) secured by any Lien and (ii) which contemplates an Acceptable Subordination or Intercreditor Agreement, and the Secured Parties party hereto acknowledge that any Acceptable Subordination or Intercreditor Agreement is binding upon them. Each Lender and each other Secured Party hereby (a) agrees that it will be bound by, and will not take any action contrary to, the provisions of any Acceptable Subordination or Intercreditor Agreement and (b) authorizes and instructs the Administrative Agent to enter into any Acceptable Subordination or Intercreditor Agreement and to subject the Liens on the Collateral securing the Secured Obligations to the provisions thereof, as applicable. The foregoing provisions are intended as an inducement to the Secured Parties to extend credit to the Borrower, and the Secured Parties are intended third-party beneficiaries of such provisions and the provisions of any Acceptable Subordination or Intercreditor Agreement.</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XIV</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MISCELLANEOUS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14.01</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e-mail, as follows: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any Loan Party, to it in care of the Borrower at:</w:t>
      </w:r>
    </w:p>
    <w:p>
      <w:pPr>
        <w:pStyle w:val="TextBody"/>
        <w:bidi w:val="0"/>
        <w:jc w:val="both"/>
        <w:rPr>
          <w:rFonts w:ascii="Times New Roman" w:hAnsi="Times New Roman"/>
          <w:color w:val="000000"/>
          <w:sz w:val="22"/>
        </w:rPr>
      </w:pPr>
      <w:r>
        <w:rPr>
          <w:rFonts w:ascii="Times New Roman" w:hAnsi="Times New Roman"/>
          <w:color w:val="000000"/>
          <w:sz w:val="22"/>
        </w:rPr>
        <w:t>Firefly Aerospace Inc.</w:t>
      </w:r>
    </w:p>
    <w:p>
      <w:pPr>
        <w:pStyle w:val="TextBody"/>
        <w:bidi w:val="0"/>
        <w:jc w:val="both"/>
        <w:rPr>
          <w:rFonts w:ascii="Times New Roman" w:hAnsi="Times New Roman"/>
          <w:color w:val="0000FF"/>
          <w:sz w:val="22"/>
          <w:u w:val="single"/>
        </w:rPr>
      </w:pPr>
      <w:r>
        <w:rPr>
          <w:rFonts w:ascii="Times New Roman" w:hAnsi="Times New Roman"/>
          <w:color w:val="0000FF"/>
          <w:sz w:val="22"/>
          <w:u w:val="single"/>
        </w:rPr>
        <w:t>2203 Scottsdale Drive</w:t>
      </w:r>
    </w:p>
    <w:p>
      <w:pPr>
        <w:pStyle w:val="TextBody"/>
        <w:bidi w:val="0"/>
        <w:jc w:val="both"/>
        <w:rPr>
          <w:rFonts w:ascii="Times New Roman" w:hAnsi="Times New Roman"/>
          <w:color w:val="0000FF"/>
          <w:sz w:val="22"/>
          <w:u w:val="single"/>
        </w:rPr>
      </w:pPr>
      <w:r>
        <w:rPr>
          <w:rFonts w:ascii="Times New Roman" w:hAnsi="Times New Roman"/>
          <w:color w:val="0000FF"/>
          <w:sz w:val="22"/>
          <w:u w:val="single"/>
        </w:rPr>
        <w:t>Leander, Texas 78641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trike/>
          <w:color w:val="FF0000"/>
          <w:sz w:val="22"/>
        </w:rPr>
      </w:pPr>
      <w:r>
        <w:rPr>
          <w:rFonts w:ascii="Times New Roman" w:hAnsi="Times New Roman"/>
          <w:strike/>
          <w:color w:val="FF0000"/>
          <w:sz w:val="22"/>
        </w:rPr>
        <w:t>1320 Arrow Point Drive, #109</w:t>
      </w:r>
    </w:p>
    <w:p>
      <w:pPr>
        <w:pStyle w:val="TextBody"/>
        <w:bidi w:val="0"/>
        <w:jc w:val="both"/>
        <w:rPr>
          <w:rFonts w:ascii="Times New Roman" w:hAnsi="Times New Roman"/>
          <w:strike/>
          <w:color w:val="FF0000"/>
          <w:sz w:val="22"/>
        </w:rPr>
      </w:pPr>
      <w:r>
        <w:rPr>
          <w:rFonts w:ascii="Times New Roman" w:hAnsi="Times New Roman"/>
          <w:strike/>
          <w:color w:val="FF0000"/>
          <w:sz w:val="22"/>
        </w:rPr>
        <w:t>Cedar Park, TX 78613</w:t>
      </w:r>
    </w:p>
    <w:p>
      <w:pPr>
        <w:pStyle w:val="TextBody"/>
        <w:bidi w:val="0"/>
        <w:jc w:val="both"/>
        <w:rPr>
          <w:rFonts w:ascii="Times New Roman" w:hAnsi="Times New Roman"/>
          <w:color w:val="000000"/>
          <w:sz w:val="22"/>
        </w:rPr>
      </w:pPr>
      <w:r>
        <w:rPr>
          <w:rFonts w:ascii="Times New Roman" w:hAnsi="Times New Roman"/>
          <w:color w:val="000000"/>
          <w:sz w:val="22"/>
        </w:rPr>
        <w:t>Attn: Legal Department</w:t>
      </w:r>
    </w:p>
    <w:p>
      <w:pPr>
        <w:pStyle w:val="TextBody"/>
        <w:bidi w:val="0"/>
        <w:jc w:val="both"/>
        <w:rPr>
          <w:rFonts w:ascii="Times New Roman" w:hAnsi="Times New Roman"/>
          <w:color w:val="000000"/>
          <w:sz w:val="22"/>
        </w:rPr>
      </w:pPr>
      <w:r>
        <w:rPr>
          <w:rFonts w:ascii="Times New Roman" w:hAnsi="Times New Roman"/>
          <w:color w:val="000000"/>
          <w:sz w:val="22"/>
        </w:rPr>
        <w:t>Email: legal@fireflyspace.com</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AE Industrial Partners, LP</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6700 Broken Sound Pkwy NW</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Boca Raton, FL 33487</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Attn: Jonathan Lusczakoski;Melissa Klafter; Matthew Friendly</w:t>
      </w:r>
    </w:p>
    <w:p>
      <w:pPr>
        <w:pStyle w:val="TextBody"/>
        <w:bidi w:val="0"/>
        <w:jc w:val="both"/>
        <w:rPr>
          <w:rFonts w:ascii="Times New Roman" w:hAnsi="Times New Roman"/>
          <w:sz w:val="20"/>
        </w:rPr>
      </w:pPr>
      <w:r>
        <w:rPr>
          <w:rFonts w:ascii="Times New Roman" w:hAnsi="Times New Roman"/>
          <w:color w:val="000000"/>
          <w:sz w:val="22"/>
        </w:rPr>
        <w:t>Email: jlusczakoski@aeroequity.com</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mklafter@aeroequity.com</w:t>
      </w:r>
      <w:r>
        <w:rPr>
          <w:rFonts w:ascii="Times New Roman" w:hAnsi="Times New Roman"/>
          <w:color w:val="0000FF"/>
          <w:sz w:val="22"/>
          <w:u w:val="single"/>
        </w:rPr>
        <w:t>;</w:t>
      </w:r>
      <w:r>
        <w:rPr>
          <w:rFonts w:ascii="Times New Roman" w:hAnsi="Times New Roman"/>
          <w:color w:val="000000"/>
          <w:sz w:val="20"/>
        </w:rPr>
        <w:t xml:space="preserve"> </w:t>
      </w:r>
      <w:r>
        <w:rPr>
          <w:rFonts w:ascii="Times New Roman" w:hAnsi="Times New Roman"/>
          <w:color w:val="000000"/>
          <w:sz w:val="22"/>
        </w:rPr>
        <w:t>mfriendly@aeroequity.com</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Kirkland &amp; Ellis LLP</w:t>
      </w:r>
    </w:p>
    <w:p>
      <w:pPr>
        <w:pStyle w:val="TextBody"/>
        <w:bidi w:val="0"/>
        <w:jc w:val="both"/>
        <w:rPr>
          <w:rFonts w:ascii="Times New Roman" w:hAnsi="Times New Roman"/>
          <w:color w:val="000000"/>
          <w:sz w:val="22"/>
        </w:rPr>
      </w:pPr>
      <w:r>
        <w:rPr>
          <w:rFonts w:ascii="Times New Roman" w:hAnsi="Times New Roman"/>
          <w:color w:val="000000"/>
          <w:sz w:val="22"/>
        </w:rPr>
        <w:t>333 West Wolf Point Plaza</w:t>
      </w:r>
    </w:p>
    <w:p>
      <w:pPr>
        <w:pStyle w:val="TextBody"/>
        <w:bidi w:val="0"/>
        <w:jc w:val="both"/>
        <w:rPr>
          <w:rFonts w:ascii="Times New Roman" w:hAnsi="Times New Roman"/>
          <w:sz w:val="20"/>
        </w:rPr>
      </w:pPr>
      <w:r>
        <w:rPr>
          <w:rFonts w:ascii="Times New Roman" w:hAnsi="Times New Roman"/>
          <w:color w:val="000000"/>
          <w:sz w:val="22"/>
        </w:rPr>
        <w:t>Chicago, Illinois 60654</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Attn: Michelle Kilkenney</w:t>
      </w:r>
    </w:p>
    <w:p>
      <w:pPr>
        <w:pStyle w:val="TextBody"/>
        <w:bidi w:val="0"/>
        <w:jc w:val="both"/>
        <w:rPr>
          <w:rFonts w:ascii="Times New Roman" w:hAnsi="Times New Roman"/>
          <w:color w:val="000000"/>
          <w:sz w:val="22"/>
        </w:rPr>
      </w:pPr>
      <w:r>
        <w:rPr>
          <w:rFonts w:ascii="Times New Roman" w:hAnsi="Times New Roman"/>
          <w:color w:val="000000"/>
          <w:sz w:val="22"/>
        </w:rPr>
        <w:t>Email: michelle.kilkenney@kirkland.com</w:t>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Administrative Agent from the Borrower, to the address or addresses separately provided to the Borrower;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Administrative Agent from the Lenders, to Wells Fargo Bank, National Association:</w:t>
      </w:r>
    </w:p>
    <w:p>
      <w:pPr>
        <w:pStyle w:val="TextBody"/>
        <w:bidi w:val="0"/>
        <w:jc w:val="both"/>
        <w:rPr>
          <w:rFonts w:ascii="Times New Roman" w:hAnsi="Times New Roman"/>
          <w:sz w:val="20"/>
        </w:rPr>
      </w:pPr>
      <w:r>
        <w:rPr>
          <w:rFonts w:ascii="Times New Roman" w:hAnsi="Times New Roman"/>
          <w:color w:val="000000"/>
          <w:sz w:val="22"/>
        </w:rPr>
        <w:t>Wells Fargo Bank, National Association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MAC D1109-019</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1525 West W.T. Harris Blvd.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Charlotte, NC 28262</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Attention of: Syndication Agency Services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Telephone No.: (704) 590-2706</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Facsimile No.: (844) 879-5899</w:t>
      </w:r>
    </w:p>
    <w:p>
      <w:pPr>
        <w:pStyle w:val="TextBody"/>
        <w:bidi w:val="0"/>
        <w:jc w:val="both"/>
        <w:rPr>
          <w:rFonts w:ascii="Times New Roman" w:hAnsi="Times New Roman"/>
          <w:sz w:val="20"/>
        </w:rPr>
      </w:pPr>
      <w:r>
        <w:rPr>
          <w:rFonts w:ascii="Times New Roman" w:hAnsi="Times New Roman"/>
          <w:color w:val="000000"/>
          <w:sz w:val="22"/>
        </w:rPr>
        <w:t>Email: agencyservices.closers@wellsfargo.com</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an Issuing Bank or the Swingline Lender, to it at the address separately provided to the Borrower;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any other Lender, to it at its address set forth in its Administrative Questionnaire.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Notices and other communications to the Borrower, any Loan Party, the Lenders, the Administrative Agent and the Issuing Banks hereunder may be delivered or furnished by using Approved Electronic Platforms, pursuant to procedures approved by the Administrative Agent; </w:t>
      </w:r>
      <w:r>
        <w:rPr>
          <w:rFonts w:ascii="Times New Roman" w:hAnsi="Times New Roman"/>
          <w:i/>
          <w:color w:val="000000"/>
          <w:sz w:val="22"/>
        </w:rPr>
        <w:t xml:space="preserve">provided </w:t>
      </w:r>
      <w:r>
        <w:rPr>
          <w:rFonts w:ascii="Times New Roman" w:hAnsi="Times New Roman"/>
          <w:color w:val="000000"/>
          <w:sz w:val="22"/>
        </w:rPr>
        <w:t xml:space="preserve">that the foregoing shall not apply to notices pursuant to </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 xml:space="preserve">or to compliance and no Default certificates delivered pursuant to </w:t>
      </w:r>
      <w:r>
        <w:rPr>
          <w:rFonts w:ascii="Times New Roman" w:hAnsi="Times New Roman"/>
          <w:color w:val="000000"/>
          <w:sz w:val="22"/>
          <w:u w:val="single"/>
        </w:rPr>
        <w:t>Section 5.01(</w:t>
      </w:r>
      <w:r>
        <w:rPr>
          <w:rFonts w:ascii="Times New Roman" w:hAnsi="Times New Roman"/>
          <w:strike/>
          <w:color w:val="FF0000"/>
          <w:sz w:val="22"/>
          <w:u w:val="single"/>
        </w:rPr>
        <w:t>d</w:t>
      </w:r>
      <w:r>
        <w:rPr>
          <w:rFonts w:ascii="Times New Roman" w:hAnsi="Times New Roman"/>
          <w:color w:val="0000FF"/>
          <w:sz w:val="22"/>
          <w:u w:val="single"/>
        </w:rPr>
        <w:t>c</w:t>
      </w:r>
      <w:r>
        <w:rPr>
          <w:rFonts w:ascii="Times New Roman" w:hAnsi="Times New Roman"/>
          <w:color w:val="000000"/>
          <w:sz w:val="22"/>
          <w:u w:val="single"/>
        </w:rPr>
        <w:t>)</w:t>
      </w:r>
      <w:r>
        <w:rPr>
          <w:color w:val="000000"/>
        </w:rPr>
        <w:t xml:space="preserve"> </w:t>
      </w:r>
      <w:r>
        <w:rPr>
          <w:rFonts w:ascii="Times New Roman" w:hAnsi="Times New Roman"/>
          <w:color w:val="000000"/>
          <w:sz w:val="22"/>
        </w:rPr>
        <w:t xml:space="preserve">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hAnsi="Times New Roman"/>
          <w:i/>
          <w:color w:val="000000"/>
          <w:sz w:val="22"/>
        </w:rPr>
        <w:t xml:space="preserve">provided </w:t>
      </w:r>
      <w:r>
        <w:rPr>
          <w:rFonts w:ascii="Times New Roman" w:hAnsi="Times New Roman"/>
          <w:color w:val="000000"/>
          <w:sz w:val="22"/>
        </w:rPr>
        <w:t>that approval of such procedures may be limited to particular notices or communications.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i/>
          <w:color w:val="000000"/>
          <w:sz w:val="22"/>
        </w:rPr>
        <w:t xml:space="preserve">provided </w:t>
      </w:r>
      <w:r>
        <w:rPr>
          <w:rFonts w:ascii="Times New Roman" w:hAnsi="Times New Roman"/>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party hereto may change its address for notices and other communications hereunder by notice to the other parties hereto.</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14.02</w:t>
      </w:r>
    </w:p>
    <w:p>
      <w:pPr>
        <w:pStyle w:val="TextBody"/>
        <w:bidi w:val="0"/>
        <w:spacing w:before="0" w:after="240"/>
        <w:jc w:val="both"/>
        <w:rPr/>
      </w:pPr>
      <w:r>
        <w:rPr>
          <w:rFonts w:ascii="Times New Roman" w:hAnsi="Times New Roman"/>
          <w:color w:val="000000"/>
          <w:sz w:val="22"/>
          <w:u w:val="single"/>
        </w:rPr>
        <w:t>Waivers; Amendments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w:t>
      </w:r>
      <w:r>
        <w:rPr>
          <w:rFonts w:ascii="Times New Roman" w:hAnsi="Times New Roman"/>
          <w:color w:val="000000"/>
          <w:sz w:val="22"/>
          <w:u w:val="single"/>
        </w:rPr>
        <w:t>Section 9.02</w:t>
      </w:r>
      <w:r>
        <w:rPr>
          <w:rFonts w:ascii="Times New Roman" w:hAnsi="Times New Roman"/>
          <w:color w:val="000000"/>
          <w:sz w:val="22"/>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Subject to </w:t>
      </w:r>
      <w:r>
        <w:rPr>
          <w:rFonts w:ascii="Times New Roman" w:hAnsi="Times New Roman"/>
          <w:color w:val="000000"/>
          <w:sz w:val="22"/>
          <w:u w:val="single"/>
        </w:rPr>
        <w:t>Section 2.14(b)</w:t>
      </w:r>
      <w:r>
        <w:rPr>
          <w:rFonts w:ascii="Times New Roman" w:hAnsi="Times New Roman"/>
          <w:color w:val="000000"/>
          <w:sz w:val="22"/>
        </w:rPr>
        <w:t xml:space="preserve">, </w:t>
      </w:r>
      <w:r>
        <w:rPr>
          <w:rFonts w:ascii="Times New Roman" w:hAnsi="Times New Roman"/>
          <w:color w:val="000000"/>
          <w:sz w:val="22"/>
          <w:u w:val="single"/>
        </w:rPr>
        <w:t>(c)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(e)</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9.02(e)</w:t>
      </w:r>
      <w:r>
        <w:rPr>
          <w:color w:val="000000"/>
        </w:rPr>
        <w:t xml:space="preserve"> </w:t>
      </w:r>
      <w:r>
        <w:rPr>
          <w:rFonts w:ascii="Times New Roman" w:hAnsi="Times New Roman"/>
          <w:color w:val="000000"/>
          <w:sz w:val="22"/>
        </w:rPr>
        <w:t xml:space="preserve">below and except as otherwise set forth in this Agreement,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hAnsi="Times New Roman"/>
          <w:i/>
          <w:color w:val="000000"/>
          <w:sz w:val="22"/>
        </w:rPr>
        <w:t xml:space="preserve">provided </w:t>
      </w:r>
      <w:r>
        <w:rPr>
          <w:rFonts w:ascii="Times New Roman" w:hAnsi="Times New Roman"/>
          <w:color w:val="000000"/>
          <w:sz w:val="22"/>
        </w:rPr>
        <w:t xml:space="preserve">that no such agreement shall (i) increase the Commitment of any Lender without the written consent of such Lender (including any such Lender that is a Defaulting Lender) (but not Required Lenders) (it being understood that a waiver of any condition precedent or the waiver of any Default, Event of Default or mandatory prepayment shall not constitute an increase of any Commitment), (ii) reduce or forgive the principal amount of any Loan or LC Disbursement or reduce the rate of interest thereon, or reduce or forgive any interest, fees or other Obligations payable hereunder,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without the written consent of each Lender directly and adversely affected thereby (including any such Lender that is a Defaulting Lender) (but not Required Lenders); </w:t>
      </w:r>
      <w:r>
        <w:rPr>
          <w:rFonts w:ascii="Times New Roman" w:hAnsi="Times New Roman"/>
          <w:i/>
          <w:color w:val="000000"/>
          <w:sz w:val="22"/>
        </w:rPr>
        <w:t>provided, however</w:t>
      </w:r>
      <w:r>
        <w:rPr>
          <w:rFonts w:ascii="Times New Roman" w:hAnsi="Times New Roman"/>
          <w:color w:val="000000"/>
          <w:sz w:val="22"/>
        </w:rPr>
        <w:t xml:space="preserve">, that only the consent of the Required Lenders shall be necessary to amend the provisions with respect to the application or amount of the default rate described in </w:t>
      </w:r>
      <w:r>
        <w:rPr>
          <w:rFonts w:ascii="Times New Roman" w:hAnsi="Times New Roman"/>
          <w:color w:val="000000"/>
          <w:sz w:val="22"/>
          <w:u w:val="single"/>
        </w:rPr>
        <w:t>Section 2.13(c)</w:t>
      </w:r>
      <w:r>
        <w:rPr>
          <w:color w:val="000000"/>
        </w:rPr>
        <w:t xml:space="preserve"> </w:t>
      </w:r>
      <w:r>
        <w:rPr>
          <w:rFonts w:ascii="Times New Roman" w:hAnsi="Times New Roman"/>
          <w:color w:val="000000"/>
          <w:sz w:val="22"/>
        </w:rPr>
        <w:t xml:space="preserve">or waive any obligation of the Borrower to pay interest or fees at such default rate and with respect to amendments to any financial covenant ratios or related definitions, the impact of which may reduce such amounts, (iii) postpone any scheduled date of payment of the principal amount of any Loan or LC Disbursement, or any scheduled date for payment of any interest thereon, or any fees or other Obligations payable hereunder (including extending the expiration of a Letter of Credit to a date after the Maturity Date), or reduce the amount of, waive or excuse any such payment, or postpone the scheduled date of expiration of any Commitment, without the written consent of each Lender directly and adversely affected thereby (including any such Lender that is a Defaulting Lender) (but not Required Lenders); </w:t>
      </w:r>
      <w:r>
        <w:rPr>
          <w:rFonts w:ascii="Times New Roman" w:hAnsi="Times New Roman"/>
          <w:i/>
          <w:color w:val="000000"/>
          <w:sz w:val="22"/>
        </w:rPr>
        <w:t>provided, however</w:t>
      </w:r>
      <w:r>
        <w:rPr>
          <w:rFonts w:ascii="Times New Roman" w:hAnsi="Times New Roman"/>
          <w:color w:val="000000"/>
          <w:sz w:val="22"/>
        </w:rPr>
        <w:t xml:space="preserve">, that only the consent of the Required Lenders shall be necessary to amend the provisions with respect to the application or amount of the default rate described in </w:t>
      </w:r>
      <w:r>
        <w:rPr>
          <w:rFonts w:ascii="Times New Roman" w:hAnsi="Times New Roman"/>
          <w:color w:val="000000"/>
          <w:sz w:val="22"/>
          <w:u w:val="single"/>
        </w:rPr>
        <w:t>Section 2.13(c)</w:t>
      </w:r>
      <w:r>
        <w:rPr>
          <w:rFonts w:ascii="Times New Roman" w:hAnsi="Times New Roman"/>
          <w:color w:val="000000"/>
          <w:sz w:val="22"/>
        </w:rPr>
        <w:t xml:space="preserve">, waive any obligation of the Borrower to pay interest or fees at such default rate and with respect to amendments to any financial covenant ratios or related definitions, the impact of which may such scheduled amounts, (iv) change </w:t>
      </w:r>
      <w:r>
        <w:rPr>
          <w:rFonts w:ascii="Times New Roman" w:hAnsi="Times New Roman"/>
          <w:color w:val="000000"/>
          <w:sz w:val="22"/>
          <w:u w:val="single"/>
        </w:rPr>
        <w:t xml:space="preserve">Section 2.09(b), </w:t>
      </w:r>
      <w:r>
        <w:rPr>
          <w:rFonts w:ascii="Times New Roman" w:hAnsi="Times New Roman"/>
          <w:color w:val="0000FF"/>
          <w:sz w:val="22"/>
          <w:u w:val="single"/>
        </w:rPr>
        <w:t xml:space="preserve">the last sentence of 2.09(c), </w:t>
      </w:r>
      <w:r>
        <w:rPr>
          <w:rFonts w:ascii="Times New Roman" w:hAnsi="Times New Roman"/>
          <w:color w:val="000000"/>
          <w:sz w:val="22"/>
          <w:u w:val="single"/>
        </w:rPr>
        <w:t>2.18(b)</w:t>
      </w:r>
      <w:r>
        <w:rPr>
          <w:rFonts w:ascii="Times New Roman" w:hAnsi="Times New Roman"/>
          <w:color w:val="000000"/>
          <w:sz w:val="22"/>
        </w:rPr>
        <w:t xml:space="preserve">, </w:t>
      </w:r>
      <w:r>
        <w:rPr>
          <w:rFonts w:ascii="Times New Roman" w:hAnsi="Times New Roman"/>
          <w:color w:val="000000"/>
          <w:sz w:val="22"/>
          <w:u w:val="single"/>
        </w:rPr>
        <w:t>(d)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w:t>
      </w:r>
      <w:r>
        <w:rPr>
          <w:color w:val="000000"/>
        </w:rPr>
        <w:t xml:space="preserve"> </w:t>
      </w:r>
      <w:r>
        <w:rPr>
          <w:rFonts w:ascii="Times New Roman" w:hAnsi="Times New Roman"/>
          <w:color w:val="000000"/>
          <w:sz w:val="22"/>
        </w:rPr>
        <w:t xml:space="preserve">in a manner that would alter the ratable reduction of Commitments or the </w:t>
      </w:r>
      <w:r>
        <w:rPr>
          <w:rFonts w:ascii="Times New Roman" w:hAnsi="Times New Roman"/>
          <w:i/>
          <w:color w:val="000000"/>
          <w:sz w:val="22"/>
        </w:rPr>
        <w:t xml:space="preserve">pro rata </w:t>
      </w:r>
      <w:r>
        <w:rPr>
          <w:rFonts w:ascii="Times New Roman" w:hAnsi="Times New Roman"/>
          <w:color w:val="000000"/>
          <w:sz w:val="22"/>
        </w:rPr>
        <w:t xml:space="preserve">sharing of payments required thereby, without the written consent of each directly and adversely affected Lender (but not Required Lenders), (v) change the payment waterfall provisions of </w:t>
      </w:r>
      <w:r>
        <w:rPr>
          <w:rFonts w:ascii="Times New Roman" w:hAnsi="Times New Roman"/>
          <w:color w:val="000000"/>
          <w:sz w:val="22"/>
          <w:u w:val="single"/>
        </w:rPr>
        <w:t>Section 2.18(b)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2.20(b)</w:t>
      </w:r>
      <w:r>
        <w:rPr>
          <w:color w:val="000000"/>
        </w:rPr>
        <w:t xml:space="preserve"> </w:t>
      </w:r>
      <w:r>
        <w:rPr>
          <w:rFonts w:ascii="Times New Roman" w:hAnsi="Times New Roman"/>
          <w:color w:val="000000"/>
          <w:sz w:val="22"/>
        </w:rPr>
        <w:t xml:space="preserve">without the written consent of each directly and adversely affected Lender, (vi) release the Borrower from its Obligations without the written consent of each Lender, (vii) change any of the provisions of this </w:t>
      </w:r>
      <w:r>
        <w:rPr>
          <w:rFonts w:ascii="Times New Roman" w:hAnsi="Times New Roman"/>
          <w:color w:val="000000"/>
          <w:sz w:val="22"/>
          <w:u w:val="single"/>
        </w:rPr>
        <w:t>Section 9.02</w:t>
      </w:r>
      <w:r>
        <w:rPr>
          <w:color w:val="000000"/>
        </w:rPr>
        <w:t xml:space="preserve"> </w:t>
      </w:r>
      <w:r>
        <w:rPr>
          <w:rFonts w:ascii="Times New Roman" w:hAnsi="Times New Roman"/>
          <w:color w:val="000000"/>
          <w:sz w:val="22"/>
        </w:rPr>
        <w:t xml:space="preserve">or the definition of “Required Lenders” or, except as provided in the following clause (viii), any other provision of any Loan Document specifying the number or percentage of Lenders required to waive, amend or modify any rights thereunder or make any determination or grant any consent thereunder, in each case to reduce the percentage or number of Lenders set forth therein to approve such waiver, amendment, or modification of any such rights without the written consent of each directly and adversely affected Lender (it being understood that, with the consent of the Required Lenders (if such consent is otherwise required), or the Administrative Agent (if the consent of the Required Lenders is not otherwise required), additional extensions of credit pursuant to this Agreement may be included in the determination of the Required Lenders on substantially the same basis, following the incurrence thereof, as the Commitments, as applicable), (viii) change </w:t>
      </w:r>
      <w:r>
        <w:rPr>
          <w:rFonts w:ascii="Times New Roman" w:hAnsi="Times New Roman"/>
          <w:color w:val="000000"/>
          <w:sz w:val="22"/>
          <w:u w:val="single"/>
        </w:rPr>
        <w:t>Section 2.20</w:t>
      </w:r>
      <w:r>
        <w:rPr>
          <w:rFonts w:ascii="Times New Roman" w:hAnsi="Times New Roman"/>
          <w:color w:val="000000"/>
          <w:sz w:val="22"/>
        </w:rPr>
        <w:t xml:space="preserve">, without the consent of each Lender (other than any Defaulting Lender) (but not Required Lenders), (ix) contractually subordinate any of the Obligations in right of payment to any other Indebtedness or contractually subordinate any Liens on Collateral securing the Obligations to any Lien on such Collateral securing any other Indebtedness, in each case without the written consent of each Lender directly and adversely affected thereby (but not the Required Lenders), except (A) Indebtedness that is permitted to be senior in right of payment to such Obligations under the Loan Documents in effect on the Effective Date and/or be secured by a Lien on the Collateral that is senior to such Lien securing the Obligations under the Loan Documents in effect on the Effective Date, (B) any “debtor in-possession” facility, or (C) any other Indebtedness so long as such Indebtedness is offered ratably to all Lenders holding the Obligations on substantially the same terms (other than arranger fees, agent fees, bona fide backstop fees and similar fees and reimbursement of counsel fees and other expenses in connection with the negotiation of the terms of such transaction), (x) amend or waive the conditions set forth in </w:t>
      </w:r>
      <w:r>
        <w:rPr>
          <w:rFonts w:ascii="Times New Roman" w:hAnsi="Times New Roman"/>
          <w:color w:val="000000"/>
          <w:sz w:val="22"/>
          <w:u w:val="single"/>
        </w:rPr>
        <w:t>Section 4.01</w:t>
      </w:r>
      <w:r>
        <w:rPr>
          <w:color w:val="000000"/>
        </w:rPr>
        <w:t xml:space="preserve"> </w:t>
      </w:r>
      <w:r>
        <w:rPr>
          <w:rFonts w:ascii="Times New Roman" w:hAnsi="Times New Roman"/>
          <w:color w:val="000000"/>
          <w:sz w:val="22"/>
        </w:rPr>
        <w:t>(including amendments to the component definitions thereof which have the effect of amending or waiving such conditions), in each case without the written consent of each Lender, (xi) release all or substantially all of the Guarantors from their obligations under the Loan Guaranty, without the written consent of each directly and adversely affected Lender (other than any Defaulting Lender) (but not Required Lenders) (except as otherwise provided for in this Agreement as in effect on the Effective Date), or (xii) except as provided in</w:t>
      </w:r>
      <w:r>
        <w:rPr>
          <w:color w:val="00000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paragraph (f)(i) of this </w:t>
      </w:r>
      <w:r>
        <w:rPr>
          <w:rFonts w:ascii="Times New Roman" w:hAnsi="Times New Roman"/>
          <w:color w:val="000000"/>
          <w:sz w:val="22"/>
          <w:u w:val="single"/>
        </w:rPr>
        <w:t>Section 9.02</w:t>
      </w:r>
      <w:r>
        <w:rPr>
          <w:rFonts w:ascii="Times New Roman" w:hAnsi="Times New Roman"/>
          <w:color w:val="000000"/>
          <w:sz w:val="22"/>
        </w:rPr>
        <w:t xml:space="preserve">, release all or substantially all of the Collateral (except as otherwise provided for in this Agreement as in effect on the Effective Date), without the written consent of each directly and adversely affected Lender (other than any Defaulting Lender) (but not Required Lenders); </w:t>
      </w:r>
      <w:r>
        <w:rPr>
          <w:rFonts w:ascii="Times New Roman" w:hAnsi="Times New Roman"/>
          <w:i/>
          <w:color w:val="000000"/>
          <w:sz w:val="22"/>
        </w:rPr>
        <w:t>provided further</w:t>
      </w:r>
      <w:r>
        <w:rPr>
          <w:rFonts w:ascii="Times New Roman" w:hAnsi="Times New Roman"/>
          <w:color w:val="000000"/>
          <w:sz w:val="22"/>
        </w:rPr>
        <w:t xml:space="preserve">, that no such agreement shall amend, modify or otherwise adversely affect the rights or duties of the Administrative Agent, the Swingline Lender or the Issuing Bank hereunder without the prior written consent of the Administrative Agent, the Swingline Lender or the Issuing Bank, as the case may be (it being understood that any change to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shall require the consent of the Administrative Agent, the Swingline Lender and the Issuing Bank); </w:t>
      </w:r>
      <w:r>
        <w:rPr>
          <w:rFonts w:ascii="Times New Roman" w:hAnsi="Times New Roman"/>
          <w:i/>
          <w:color w:val="000000"/>
          <w:sz w:val="22"/>
        </w:rPr>
        <w:t xml:space="preserve">provided further, </w:t>
      </w:r>
      <w:r>
        <w:rPr>
          <w:rFonts w:ascii="Times New Roman" w:hAnsi="Times New Roman"/>
          <w:color w:val="000000"/>
          <w:sz w:val="22"/>
        </w:rPr>
        <w:t xml:space="preserve">that no such agreement shall amend or modify the provisions of </w:t>
      </w:r>
      <w:r>
        <w:rPr>
          <w:rFonts w:ascii="Times New Roman" w:hAnsi="Times New Roman"/>
          <w:color w:val="000000"/>
          <w:sz w:val="22"/>
          <w:u w:val="single"/>
        </w:rPr>
        <w:t>Section 2.06</w:t>
      </w:r>
      <w:r>
        <w:rPr>
          <w:color w:val="000000"/>
        </w:rPr>
        <w:t xml:space="preserve"> </w:t>
      </w:r>
      <w:r>
        <w:rPr>
          <w:rFonts w:ascii="Times New Roman" w:hAnsi="Times New Roman"/>
          <w:color w:val="000000"/>
          <w:sz w:val="22"/>
        </w:rPr>
        <w:t xml:space="preserve">or any letter of credit application 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Borrower, the Administrative Agent and the Issuing Bank, respectively; provided further, only the consent of the parties to the Fee Letter shall be required to amend, modify or supplement the terms thereof. The Administrative Agent may also amend </w:t>
      </w:r>
      <w:r>
        <w:rPr>
          <w:rFonts w:ascii="Times New Roman" w:hAnsi="Times New Roman"/>
          <w:color w:val="000000"/>
          <w:sz w:val="22"/>
          <w:u w:val="single"/>
        </w:rPr>
        <w:t>Schedule 2.01</w:t>
      </w:r>
      <w:r>
        <w:rPr>
          <w:color w:val="000000"/>
        </w:rPr>
        <w:t xml:space="preserve"> </w:t>
      </w:r>
      <w:r>
        <w:rPr>
          <w:rFonts w:ascii="Times New Roman" w:hAnsi="Times New Roman"/>
          <w:color w:val="000000"/>
          <w:sz w:val="22"/>
        </w:rPr>
        <w:t xml:space="preserve">to reflect assignments entered into pursuant to </w:t>
      </w:r>
      <w:r>
        <w:rPr>
          <w:rFonts w:ascii="Times New Roman" w:hAnsi="Times New Roman"/>
          <w:color w:val="000000"/>
          <w:sz w:val="22"/>
          <w:u w:val="single"/>
        </w:rPr>
        <w:t>Section 9.04</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Omitted].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If, in connection with any proposed amendment, waiver or consent requiring the consent of “each Lender” or “each Lender directly and adversely affected thereby,” the consent of the Required Lenders or Lenders at least constituting 50% of the directly and adversely affected Lenders is obtained, but the consent of other necessary Lenders is not obtained (any such Lender whose consent is necessary but has not been obtained being referred to herein as a “</w:t>
      </w:r>
      <w:r>
        <w:rPr>
          <w:rFonts w:ascii="Times New Roman" w:hAnsi="Times New Roman"/>
          <w:b/>
          <w:i/>
          <w:color w:val="000000"/>
          <w:sz w:val="22"/>
        </w:rPr>
        <w:t>Non-Consenting Lender</w:t>
      </w:r>
      <w:r>
        <w:rPr>
          <w:color w:val="000000"/>
        </w:rPr>
        <w:t>”</w:t>
      </w:r>
      <w:r>
        <w:rPr>
          <w:rFonts w:ascii="Times New Roman" w:hAnsi="Times New Roman"/>
          <w:color w:val="000000"/>
          <w:sz w:val="22"/>
        </w:rPr>
        <w:t xml:space="preserve">), then the Borrower may elect to replace (x) a Non-Consenting Lender as a Lender party to this Agreement, </w:t>
      </w:r>
      <w:r>
        <w:rPr>
          <w:rFonts w:ascii="Times New Roman" w:hAnsi="Times New Roman"/>
          <w:i/>
          <w:color w:val="000000"/>
          <w:sz w:val="22"/>
        </w:rPr>
        <w:t xml:space="preserve">provided </w:t>
      </w:r>
      <w:r>
        <w:rPr>
          <w:rFonts w:ascii="Times New Roman" w:hAnsi="Times New Roman"/>
          <w:color w:val="000000"/>
          <w:sz w:val="22"/>
        </w:rPr>
        <w:t xml:space="preserve">that, concurrently with such replacement, (i) another bank or other entity which is reasonably satisfactory to the Borrower, the Administrative Agent, the Swingline Lender and the Issuing Bank shall agree, as of such date, (A) to purchase for cash the Loans and other Obligations due to the Non-Consenting Lender pursuant to an Assignment and Assumption and to become a Lender for all purposes under this Agreement, (B) to assume all obligations of the Non-Consenting Lender to be terminated as of such date, and (C) to comply with the requirements of clause (b) of </w:t>
      </w:r>
      <w:r>
        <w:rPr>
          <w:rFonts w:ascii="Times New Roman" w:hAnsi="Times New Roman"/>
          <w:color w:val="000000"/>
          <w:sz w:val="22"/>
          <w:u w:val="single"/>
        </w:rPr>
        <w:t>Section 9.04</w:t>
      </w:r>
      <w:r>
        <w:rPr>
          <w:rFonts w:ascii="Times New Roman" w:hAnsi="Times New Roman"/>
          <w:color w:val="000000"/>
          <w:sz w:val="22"/>
        </w:rPr>
        <w:t xml:space="preserve">, (D) to consent to the applicable amendment, waiver or consent, and (y) at the Borrower’s election, reduce the Commitments of the Non-Consenting Lender on a non-pro rata basis, and (ii) the Borrower shall pay to such Non-Consenting Lender in same day funds on the day of such replacement all interest, fees and other amounts then accrued but unpaid to such Non-Consenting Lender by the Borrower hereunder to and including the date of termination, including without limitation payments due to such Non-Consenting Lender under </w:t>
      </w:r>
      <w:r>
        <w:rPr>
          <w:rFonts w:ascii="Times New Roman" w:hAnsi="Times New Roman"/>
          <w:color w:val="000000"/>
          <w:sz w:val="22"/>
          <w:u w:val="single"/>
        </w:rPr>
        <w:t>Sections 2.15</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2.17</w:t>
      </w:r>
      <w:r>
        <w:rPr>
          <w:rFonts w:ascii="Times New Roman" w:hAnsi="Times New Roman"/>
          <w:color w:val="000000"/>
          <w:sz w:val="22"/>
        </w:rPr>
        <w:t xml:space="preserve">.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Times New Roman" w:hAnsi="Times New Roman"/>
          <w:i/>
          <w:color w:val="000000"/>
          <w:sz w:val="22"/>
        </w:rPr>
        <w:t xml:space="preserve">provided </w:t>
      </w:r>
      <w:r>
        <w:rPr>
          <w:rFonts w:ascii="Times New Roman" w:hAnsi="Times New Roman"/>
          <w:color w:val="000000"/>
          <w:sz w:val="22"/>
        </w:rPr>
        <w:t>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Notwithstanding anything to the contrary contained in this </w:t>
      </w:r>
      <w:r>
        <w:rPr>
          <w:rFonts w:ascii="Times New Roman" w:hAnsi="Times New Roman"/>
          <w:color w:val="000000"/>
          <w:sz w:val="22"/>
          <w:u w:val="single"/>
        </w:rPr>
        <w:t>Section 9.02</w:t>
      </w:r>
      <w:r>
        <w:rPr>
          <w:rFonts w:ascii="Times New Roman" w:hAnsi="Times New Roman"/>
          <w:color w:val="000000"/>
          <w:sz w:val="22"/>
        </w:rPr>
        <w:t xml:space="preserve">, guarantees, Collateral Documents and related documents executed by the Loan Parties or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subsidiaries in connection with this Agreement shall be in a form reasonably determined by the Administrative Agent and the Borrower and may be, together with this Agreement, amended, modified, supplemented and waived with the consent of the Administrative Agent and the Borrower without the need to obtain the consent of any other Lender if such amendment, modification, supplement or waiver is delivered in order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(C) to (x) correct or cure ambiguities, errors, omissions, mistakes or defects, (y) effect administrative changes of a technical or immaterial nature or (z) correct cross references or similar inaccuracies or (D) to cause such guarantee, collateral security document or other document to be consistent with this Agreement and the other Loan Documents.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both"/>
        <w:rPr/>
      </w:pPr>
      <w:r>
        <w:rPr>
          <w:rFonts w:ascii="Times New Roman" w:hAnsi="Times New Roman"/>
          <w:color w:val="000000"/>
          <w:sz w:val="22"/>
        </w:rPr>
        <w:t xml:space="preserve">Notwithstanding anything in this Agreement or any Collateral Document to the contrary, the Administrative Agent, in its reasonable discretion, may grant extensions of time for the satisfaction of any of the requirements described under </w:t>
      </w:r>
      <w:r>
        <w:rPr>
          <w:rFonts w:ascii="Times New Roman" w:hAnsi="Times New Roman"/>
          <w:color w:val="000000"/>
          <w:sz w:val="22"/>
          <w:u w:val="single"/>
        </w:rPr>
        <w:t>Sections 5.10</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5.11</w:t>
      </w:r>
      <w:r>
        <w:rPr>
          <w:color w:val="000000"/>
        </w:rPr>
        <w:t xml:space="preserve"> </w:t>
      </w:r>
      <w:r>
        <w:rPr>
          <w:rFonts w:ascii="Times New Roman" w:hAnsi="Times New Roman"/>
          <w:color w:val="000000"/>
          <w:sz w:val="22"/>
        </w:rPr>
        <w:t>or any Collateral Document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Collateral Document.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both"/>
        <w:rPr/>
      </w:pPr>
      <w:r>
        <w:rPr>
          <w:rFonts w:ascii="Times New Roman" w:hAnsi="Times New Roman"/>
          <w:color w:val="000000"/>
          <w:sz w:val="22"/>
        </w:rPr>
        <w:t xml:space="preserve">Notwithstanding anything to the contrary contained in </w:t>
      </w:r>
      <w:r>
        <w:rPr>
          <w:rFonts w:ascii="Times New Roman" w:hAnsi="Times New Roman"/>
          <w:color w:val="000000"/>
          <w:sz w:val="22"/>
          <w:u w:val="single"/>
        </w:rPr>
        <w:t>Section 9.02</w:t>
      </w:r>
      <w:r>
        <w:rPr>
          <w:rFonts w:ascii="Times New Roman" w:hAnsi="Times New Roman"/>
          <w:color w:val="000000"/>
          <w:sz w:val="22"/>
        </w:rPr>
        <w:t>, if at any time after the Effective Date, the Administrative Agent and the Borrower shall have jointly identified (x) an ambiguity, error, omission or defect, (y) any ambiguity, error, omission, mistake or defect of a technical or immaterial nature or (z) any incorrect cross reference or similar inaccuracy, in each case, in any provision of the Loan Documents, then the Administrative Agent and the Borrower shall be permitted to amend such provision and such amendment shall become effective without any further action or consent of any other party to any Loan Document..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(h)</w:t>
      </w:r>
    </w:p>
    <w:p>
      <w:pPr>
        <w:pStyle w:val="TextBody"/>
        <w:bidi w:val="0"/>
        <w:spacing w:before="0" w:after="240"/>
        <w:jc w:val="both"/>
        <w:rPr/>
      </w:pPr>
      <w:r>
        <w:rPr>
          <w:rFonts w:ascii="Times New Roman" w:hAnsi="Times New Roman"/>
          <w:color w:val="000000"/>
          <w:sz w:val="22"/>
        </w:rPr>
        <w:t xml:space="preserve">The Lenders and the Issuing Bank hereby irrevocably authorize and instruct the Administrative Agent to release (and hereby automatically releases) any Liens granted to or held by the Administrative Agent upon any Collateral (i) upon the termination of all the Commitments, payment and satisfaction in full in cash of all Secured Obligations (other than (A) contingent obligations and (B) Swap Agreement Obligations and Banking Services Obligations), and the expiration with no pending drawings or termination of all Letters of Credit (other than Letters of Credit as to which other arrangements satisfactory to the Administrative Agent and the Issuing Bank have been made), (ii) constituting property being sold or disposed of to a Person other than a Loan Party if the sale or disposition is made in compliance with the terms of this Agreement or pursuant to an Acceptable Subordination or Intercreditor Agreement, (iii) constituting property leased to the Borrower or any Subsidiary under a lease which has expired or been terminated in a transaction permitted under this Agreement, (iv) as required to effect any sale or other disposition of such Collateral in connection with any exercise of remedies of the Administrative Agent and the Lenders pursuant to </w:t>
      </w:r>
      <w:r>
        <w:rPr>
          <w:rFonts w:ascii="Times New Roman" w:hAnsi="Times New Roman"/>
          <w:color w:val="000000"/>
          <w:sz w:val="22"/>
          <w:u w:val="single"/>
        </w:rPr>
        <w:t>Article VII</w:t>
      </w:r>
      <w:r>
        <w:rPr>
          <w:rFonts w:ascii="Times New Roman" w:hAnsi="Times New Roman"/>
          <w:color w:val="000000"/>
          <w:sz w:val="22"/>
        </w:rPr>
        <w:t xml:space="preserve">, (v) as otherwise permitted by, but only in accordance with, the terms of any Loan Document, (vi) assets that are Excluded Property, or (vi) if approved, authorized or ratified in writing by the Required Lenders, unless such release is required to be approved by all of the Lenders hereunder. At any time that a Loan Party desires that the Administrative Agent take any action to acknowledge or confirm any release of Collateral pursuant to clauses (ii), (iii), (iv) or (v) of the preceding sentence, such Loan Party shall, upon the Administrative Agent’s reasonable request, deliver to the Administrative Agent a certificate signed by a Responsible Officer of such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 Party (or the Borrower on behalf of such Loan Party) certifying as to such matter relating to such release as the Administrative Agent may reasonably request (and the Lenders authorize the Administrative Agent to rely upon such certificate in performing its obligations hereunder). Upon reasonable request by the Administrative Agent at any time, the Lenders will confirm in writing the Administrative Agent’s authority to release particular types or items of Collateral pursuant hereto.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14.03</w:t>
      </w:r>
    </w:p>
    <w:p>
      <w:pPr>
        <w:pStyle w:val="TextBody"/>
        <w:bidi w:val="0"/>
        <w:spacing w:before="0" w:after="240"/>
        <w:jc w:val="both"/>
        <w:rPr/>
      </w:pPr>
      <w:r>
        <w:rPr>
          <w:rFonts w:ascii="Times New Roman" w:hAnsi="Times New Roman"/>
          <w:color w:val="000000"/>
          <w:sz w:val="22"/>
          <w:u w:val="single"/>
        </w:rPr>
        <w:t>Expenses; Limitation of Liability; Indemnity; Damage Waiver</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shall pay (i) all reasonable out of pocket expenses incurred by the Administrative Agent, the Lead Arrangers and their respective Affiliates, including the reasonable fees, charges and disbursements of counsel for the Administrative Agent and the Lead Arrangers (limited to Cahill Gordon &amp; Reindel LLP (or another law firm agreed by the Borrower) as counsel to the Administrative Agent and the Lenders taken as a whole), in connection with the syndication, distribution (including without limitation, via the internet or through an Approved Electronic Platform) of the Revolving Facility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reasonable out-of-pocket expenses incurred by the Administrative Agent, any Issuing Bank or any Lender, including the fees, charges and disbursements of any counsel for the Administrative Agent, any Issuing Bank or any Lender (limited to Cahill Gordon &amp; Reindel LLP (or another law firm agreed by the Borrower) as counsel to the Administrative Agent and the Lenders taken as a whole and, if reasonably necessary, one local counsel in each relevant material jurisdiction material to the interests of the Lenders taken as a whole and, in the case of a conflict of interest, one additional counsel to the affected Lenders taken as a whole), in connection with the enforcement, collection or protection of its rights in connection with this Agreement and the other Loan Documents, including its rights under this Section, or in connection with the Loans made or Letters of Credit issued hereunder,.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To the extent permitted by applicable law (i) in the absence of gross negligence, bad faith, material breach of this Agreement or the other Loan Documents, or willful misconduct on the part of any Lender-Related Person (as defined below) (as finally determined by a court of competent jurisdiction), the Borrower and any Loan Party shall not assert and the Borrower and each Loan Party hereby waives, any claim against the Administrative Agent, the Lead Arrangers, any Issuing Bank and any Lender, and any Related Party of any of the foregoing Persons (each such Person being called a “</w:t>
      </w:r>
      <w:r>
        <w:rPr>
          <w:rFonts w:ascii="Times New Roman" w:hAnsi="Times New Roman"/>
          <w:b/>
          <w:i/>
          <w:color w:val="000000"/>
          <w:sz w:val="22"/>
        </w:rPr>
        <w:t>Lender-Related Person</w:t>
      </w:r>
      <w:r>
        <w:rPr>
          <w:color w:val="000000"/>
        </w:rPr>
        <w:t>”</w:t>
      </w:r>
      <w:r>
        <w:rPr>
          <w:rFonts w:ascii="Times New Roman" w:hAnsi="Times New Roman"/>
          <w:color w:val="000000"/>
          <w:sz w:val="22"/>
        </w:rPr>
        <w:t xml:space="preserve">), any claim against any Lender-Related Person for any Liabilities arising from the use by others of information or other materials (including, without limitation, any personal data) obtained through telecommunications, electronic or other information transmission systems (including the Internet and any Approved Electronic Platform),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proceeds thereof; provided that, nothing in this </w:t>
      </w:r>
      <w:r>
        <w:rPr>
          <w:rFonts w:ascii="Times New Roman" w:hAnsi="Times New Roman"/>
          <w:color w:val="000000"/>
          <w:sz w:val="22"/>
          <w:u w:val="single"/>
        </w:rPr>
        <w:t>Section 9.03(b)</w:t>
      </w:r>
      <w:r>
        <w:rPr>
          <w:color w:val="000000"/>
        </w:rPr>
        <w:t xml:space="preserve"> </w:t>
      </w:r>
      <w:r>
        <w:rPr>
          <w:rFonts w:ascii="Times New Roman" w:hAnsi="Times New Roman"/>
          <w:color w:val="000000"/>
          <w:sz w:val="22"/>
        </w:rPr>
        <w:t xml:space="preserve">shall relieve the Borrower and each Loan Party of any obligation it may have to indemnify an Indemnitee, as provided in </w:t>
      </w:r>
      <w:r>
        <w:rPr>
          <w:rFonts w:ascii="Times New Roman" w:hAnsi="Times New Roman"/>
          <w:color w:val="000000"/>
          <w:sz w:val="22"/>
          <w:u w:val="single"/>
        </w:rPr>
        <w:t>Section 9.03(c)</w:t>
      </w:r>
      <w:r>
        <w:rPr>
          <w:rFonts w:ascii="Times New Roman" w:hAnsi="Times New Roman"/>
          <w:color w:val="000000"/>
          <w:sz w:val="22"/>
        </w:rPr>
        <w:t>, against any special, indirect, consequential or punitive damages asserted against such Indemnitee by a third party.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Each of the Loan Parties, jointly and severally, shall indemnify the Administrative Agent, the Lead Arrangers, each Issuing Bank and each Lender, and each Related Party of any of the foregoing Persons (other than Excluded Affiliates) (each such Person being called an “</w:t>
      </w:r>
      <w:r>
        <w:rPr>
          <w:rFonts w:ascii="Times New Roman" w:hAnsi="Times New Roman"/>
          <w:b/>
          <w:i/>
          <w:color w:val="000000"/>
          <w:sz w:val="22"/>
        </w:rPr>
        <w:t>Indemnitee</w:t>
      </w:r>
      <w:r>
        <w:rPr>
          <w:color w:val="000000"/>
        </w:rPr>
        <w:t>”</w:t>
      </w:r>
      <w:r>
        <w:rPr>
          <w:rFonts w:ascii="Times New Roman" w:hAnsi="Times New Roman"/>
          <w:color w:val="000000"/>
          <w:sz w:val="22"/>
        </w:rPr>
        <w:t xml:space="preserve">) against, and hold each Indemnitee harmless from, any and all Liabilities and related expenses, including the fees, charges and disbursements of any counsel for any Indemnitee (limited to Cahill Gordon &amp; Reindel LLP (or another law firm agreed by the Borrower) as counsel to the Administrative Agent and the Lenders taken as a whole and, if reasonably necessary, one local counsel in each relevant material jurisdiction material to the interests of the Lenders taken as a whole, and in the case of a conflict of interest, one additional counsel to the affected Indemnitees taken as a whole),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(ii) [intentionally omitted]; (iii)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the Borrower or any of its Subsidiaries, or any Environmental Liability related in any way to the Borrower or any of its Subsidiaries, or (v) any actual or prospective Proceeding relating to any of the foregoing, whether or not such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Times New Roman" w:hAnsi="Times New Roman"/>
          <w:i/>
          <w:color w:val="000000"/>
          <w:sz w:val="22"/>
        </w:rPr>
        <w:t xml:space="preserve">provided </w:t>
      </w:r>
      <w:r>
        <w:rPr>
          <w:rFonts w:ascii="Times New Roman" w:hAnsi="Times New Roman"/>
          <w:color w:val="000000"/>
          <w:sz w:val="22"/>
        </w:rPr>
        <w:t xml:space="preserve">that such indemnity shall not, as to any Indemnitee, be available to the extent that (a) such Liabilities or related expenses are determined by a court of competent jurisdiction by final and nonappealable judgment to have resulted from the gross negligence, bad faith or willful misconduct of such Indemnitee, material breach or bad faith of such Indemnitee’s (or such Indemnitee’s Related Parties) obligations hereunder or under any other Loan Document or (b) any dispute solely among the indemnitee that does not involve an act or omission of the Borrower of any of its Subsidiaries (other than any claims against an Indemnitee in its capacity as an administrative agent or arranger or any similar role under the Loan Documents). This </w:t>
      </w:r>
      <w:r>
        <w:rPr>
          <w:rFonts w:ascii="Times New Roman" w:hAnsi="Times New Roman"/>
          <w:color w:val="000000"/>
          <w:sz w:val="22"/>
          <w:u w:val="single"/>
        </w:rPr>
        <w:t>Section 9.03(c)</w:t>
      </w:r>
      <w:r>
        <w:rPr>
          <w:color w:val="000000"/>
        </w:rPr>
        <w:t xml:space="preserve"> </w:t>
      </w:r>
      <w:r>
        <w:rPr>
          <w:rFonts w:ascii="Times New Roman" w:hAnsi="Times New Roman"/>
          <w:color w:val="000000"/>
          <w:sz w:val="22"/>
        </w:rPr>
        <w:t>shall not apply with respect to Taxes other than any Taxes that represent losses, claims, damages etc. arising from any non-Tax claim.</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Each Lender severally agrees to pay any amount required to be paid by any Loan Party under paragraphs (a), (b) or (c) of this </w:t>
      </w:r>
      <w:r>
        <w:rPr>
          <w:rFonts w:ascii="Times New Roman" w:hAnsi="Times New Roman"/>
          <w:color w:val="000000"/>
          <w:sz w:val="22"/>
          <w:u w:val="single"/>
        </w:rPr>
        <w:t>Section 9.03</w:t>
      </w:r>
      <w:r>
        <w:rPr>
          <w:color w:val="000000"/>
        </w:rPr>
        <w:t xml:space="preserve"> </w:t>
      </w:r>
      <w:r>
        <w:rPr>
          <w:rFonts w:ascii="Times New Roman" w:hAnsi="Times New Roman"/>
          <w:color w:val="000000"/>
          <w:sz w:val="22"/>
        </w:rPr>
        <w:t>to the Administrative Agent, each Issuing Bank and each Swingline Lender, and each Related Party of any of the foregoing Persons (each, an “</w:t>
      </w:r>
      <w:r>
        <w:rPr>
          <w:rFonts w:ascii="Times New Roman" w:hAnsi="Times New Roman"/>
          <w:b/>
          <w:i/>
          <w:color w:val="000000"/>
          <w:sz w:val="22"/>
        </w:rPr>
        <w:t>Agent-Related Person</w:t>
      </w:r>
      <w:r>
        <w:rPr>
          <w:color w:val="000000"/>
        </w:rPr>
        <w:t>”</w:t>
      </w:r>
      <w:r>
        <w:rPr>
          <w:rFonts w:ascii="Times New Roman" w:hAnsi="Times New Roman"/>
          <w:color w:val="000000"/>
          <w:sz w:val="22"/>
        </w:rPr>
        <w:t xml:space="preserve">) (to the extent not reimbursed by any Loan Party and without limiting the obligation of such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provided that the unreimbursed expense or Liability or related expense, as the case may be, was incurred by or asserted against such Agent-Related Person in its capacity as such; </w:t>
      </w:r>
      <w:r>
        <w:rPr>
          <w:rFonts w:ascii="Times New Roman" w:hAnsi="Times New Roman"/>
          <w:i/>
          <w:color w:val="000000"/>
          <w:sz w:val="22"/>
        </w:rPr>
        <w:t xml:space="preserve">provided </w:t>
      </w:r>
      <w:r>
        <w:rPr>
          <w:rFonts w:ascii="Times New Roman" w:hAnsi="Times New Roman"/>
          <w:color w:val="000000"/>
          <w:sz w:val="22"/>
        </w:rPr>
        <w:t>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All amounts due under this </w:t>
      </w:r>
      <w:r>
        <w:rPr>
          <w:rFonts w:ascii="Times New Roman" w:hAnsi="Times New Roman"/>
          <w:color w:val="000000"/>
          <w:sz w:val="22"/>
          <w:u w:val="single"/>
        </w:rPr>
        <w:t>Section 9.03</w:t>
      </w:r>
      <w:r>
        <w:rPr>
          <w:color w:val="000000"/>
        </w:rPr>
        <w:t xml:space="preserve"> </w:t>
      </w:r>
      <w:r>
        <w:rPr>
          <w:rFonts w:ascii="Times New Roman" w:hAnsi="Times New Roman"/>
          <w:color w:val="000000"/>
          <w:sz w:val="22"/>
        </w:rPr>
        <w:t>shall be payable promptly after written demand therefor (which demand shall include supporting documentation of any demanded amounts).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14.04</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Times New Roman" w:hAnsi="Times New Roman"/>
          <w:color w:val="000000"/>
          <w:sz w:val="22"/>
          <w:u w:val="single"/>
        </w:rPr>
        <w:t>Section 9.04</w:t>
      </w:r>
      <w:r>
        <w:rPr>
          <w:rFonts w:ascii="Times New Roman" w:hAnsi="Times New Roman"/>
          <w:color w:val="000000"/>
          <w:sz w:val="22"/>
        </w:rPr>
        <w:t xml:space="preserve">.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w:t>
      </w:r>
      <w:r>
        <w:rPr>
          <w:rFonts w:ascii="Times New Roman" w:hAnsi="Times New Roman"/>
          <w:color w:val="000000"/>
          <w:sz w:val="22"/>
          <w:u w:val="single"/>
        </w:rPr>
        <w:t>Section 9.04</w:t>
      </w:r>
      <w:r>
        <w:rPr>
          <w:rFonts w:ascii="Times New Roman" w:hAnsi="Times New Roman"/>
          <w:color w:val="000000"/>
          <w:sz w:val="22"/>
        </w:rPr>
        <w:t>)</w:t>
      </w:r>
      <w:r>
        <w:rPr>
          <w:color w:val="000000"/>
          <w:u w:val="single"/>
        </w:rPr>
        <w:t xml:space="preserve"> </w:t>
      </w:r>
      <w:r>
        <w:rPr>
          <w:rFonts w:ascii="Times New Roman" w:hAnsi="Times New Roman"/>
          <w:color w:val="000000"/>
          <w:sz w:val="22"/>
        </w:rPr>
        <w:t>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conditions set forth in paragraph (b)(ii) below, any Lender may assign to one or more Persons (other than an Ineligible Institution) all or a portion of its rights and obligations under the Loan Documents (including all or a portion of its Commitment, participations in Letters of Credit and the Loans at the time owing to it) with the prior written consent (such consent not to be unreasonably withheld, conditioned or delayed) 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(1)</w:t>
      </w:r>
    </w:p>
    <w:p>
      <w:pPr>
        <w:pStyle w:val="TextBody"/>
        <w:bidi w:val="0"/>
        <w:spacing w:before="0" w:after="240"/>
        <w:jc w:val="both"/>
        <w:rPr/>
      </w:pPr>
      <w:r>
        <w:rPr>
          <w:rFonts w:ascii="Times New Roman" w:hAnsi="Times New Roman"/>
          <w:color w:val="000000"/>
          <w:sz w:val="22"/>
        </w:rPr>
        <w:t xml:space="preserve">the Borrower; </w:t>
      </w:r>
      <w:r>
        <w:rPr>
          <w:rFonts w:ascii="Times New Roman" w:hAnsi="Times New Roman"/>
          <w:i/>
          <w:color w:val="000000"/>
          <w:sz w:val="22"/>
        </w:rPr>
        <w:t xml:space="preserve">provided </w:t>
      </w:r>
      <w:r>
        <w:rPr>
          <w:rFonts w:ascii="Times New Roman" w:hAnsi="Times New Roman"/>
          <w:color w:val="000000"/>
          <w:sz w:val="22"/>
        </w:rPr>
        <w:t xml:space="preserve">that, the Borrower shall be deemed to have consented to an assignment of all or a portion of the Revolving Loans and Commitments unless it shall have objected thereto by written notice to the Administrative Agent within ten (10) Business Days after having received notice thereof; </w:t>
      </w:r>
      <w:r>
        <w:rPr>
          <w:rFonts w:ascii="Times New Roman" w:hAnsi="Times New Roman"/>
          <w:i/>
          <w:color w:val="000000"/>
          <w:sz w:val="22"/>
        </w:rPr>
        <w:t xml:space="preserve">provided </w:t>
      </w:r>
      <w:r>
        <w:rPr>
          <w:rFonts w:ascii="Times New Roman" w:hAnsi="Times New Roman"/>
          <w:color w:val="000000"/>
          <w:sz w:val="22"/>
        </w:rPr>
        <w:t>that no consent of the Borrower shall be required for an assignment to a Lender, an Affiliate of a Lender, an Approved Fund or, if an Event of Default under Section 7.01(a), (b) or (h) has occurred and is continuing, any other assignee (other than any Ineligible Institution);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(2)</w:t>
      </w:r>
    </w:p>
    <w:p>
      <w:pPr>
        <w:pStyle w:val="TextBody"/>
        <w:bidi w:val="0"/>
        <w:spacing w:before="0" w:after="240"/>
        <w:jc w:val="both"/>
        <w:rPr/>
      </w:pPr>
      <w:r>
        <w:rPr>
          <w:rFonts w:ascii="Times New Roman" w:hAnsi="Times New Roman"/>
          <w:color w:val="000000"/>
          <w:sz w:val="22"/>
        </w:rPr>
        <w:t xml:space="preserve">the Administrative Agent; </w:t>
      </w:r>
      <w:r>
        <w:rPr>
          <w:rFonts w:ascii="Times New Roman" w:hAnsi="Times New Roman"/>
          <w:i/>
          <w:color w:val="000000"/>
          <w:sz w:val="22"/>
        </w:rPr>
        <w:t xml:space="preserve">provided </w:t>
      </w:r>
      <w:r>
        <w:rPr>
          <w:rFonts w:ascii="Times New Roman" w:hAnsi="Times New Roman"/>
          <w:color w:val="000000"/>
          <w:sz w:val="22"/>
        </w:rPr>
        <w:t>that no consent of the Administrative Agent shall be required for an assignment of any Commitment to an assignee that is a Lender (other than a Defaulting Lender) with a Commitment immediately prior to giving effect to such assignment;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(3)</w:t>
      </w:r>
    </w:p>
    <w:p>
      <w:pPr>
        <w:pStyle w:val="TextBody"/>
        <w:bidi w:val="0"/>
        <w:spacing w:before="0" w:after="240"/>
        <w:jc w:val="both"/>
        <w:rPr/>
      </w:pPr>
      <w:r>
        <w:rPr>
          <w:rFonts w:ascii="Times New Roman" w:hAnsi="Times New Roman"/>
          <w:color w:val="000000"/>
          <w:sz w:val="22"/>
        </w:rPr>
        <w:t xml:space="preserve">each Issuing Bank; </w:t>
      </w:r>
      <w:r>
        <w:rPr>
          <w:rFonts w:ascii="Times New Roman" w:hAnsi="Times New Roman"/>
          <w:i/>
          <w:color w:val="000000"/>
          <w:sz w:val="22"/>
        </w:rPr>
        <w:t xml:space="preserve">provided </w:t>
      </w:r>
      <w:r>
        <w:rPr>
          <w:rFonts w:ascii="Times New Roman" w:hAnsi="Times New Roman"/>
          <w:color w:val="000000"/>
          <w:sz w:val="22"/>
        </w:rPr>
        <w:t xml:space="preserve">that no consent of an Issuing Bank shall be required if (x) an Event of Default occurs with respect to the Borrower under Sections </w:t>
      </w:r>
      <w:r>
        <w:rPr>
          <w:rFonts w:ascii="Times New Roman" w:hAnsi="Times New Roman"/>
          <w:color w:val="000000"/>
          <w:sz w:val="22"/>
          <w:u w:val="single"/>
        </w:rPr>
        <w:t>7.01</w:t>
      </w:r>
      <w:r>
        <w:rPr>
          <w:rFonts w:ascii="Times New Roman" w:hAnsi="Times New Roman"/>
          <w:color w:val="000000"/>
          <w:sz w:val="22"/>
        </w:rPr>
        <w:t xml:space="preserve">(h) or </w:t>
      </w:r>
      <w:r>
        <w:rPr>
          <w:rFonts w:ascii="Times New Roman" w:hAnsi="Times New Roman"/>
          <w:color w:val="000000"/>
          <w:sz w:val="22"/>
          <w:u w:val="single"/>
        </w:rPr>
        <w:t>7.01</w:t>
      </w:r>
      <w:r>
        <w:rPr>
          <w:rFonts w:ascii="Times New Roman" w:hAnsi="Times New Roman"/>
          <w:color w:val="000000"/>
          <w:sz w:val="22"/>
        </w:rPr>
        <w:t>(i) and (y) such Issuing Bank has no outstanding Letters of Credit at that time;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(4)</w:t>
      </w:r>
    </w:p>
    <w:p>
      <w:pPr>
        <w:pStyle w:val="TextBody"/>
        <w:bidi w:val="0"/>
        <w:spacing w:before="0" w:after="240"/>
        <w:jc w:val="both"/>
        <w:rPr/>
      </w:pPr>
      <w:r>
        <w:rPr>
          <w:rFonts w:ascii="Times New Roman" w:hAnsi="Times New Roman"/>
          <w:color w:val="000000"/>
          <w:sz w:val="22"/>
        </w:rPr>
        <w:t xml:space="preserve">each Swingline Lender; </w:t>
      </w:r>
      <w:r>
        <w:rPr>
          <w:rFonts w:ascii="Times New Roman" w:hAnsi="Times New Roman"/>
          <w:i/>
          <w:color w:val="000000"/>
          <w:sz w:val="22"/>
        </w:rPr>
        <w:t xml:space="preserve">provided </w:t>
      </w:r>
      <w:r>
        <w:rPr>
          <w:rFonts w:ascii="Times New Roman" w:hAnsi="Times New Roman"/>
          <w:color w:val="000000"/>
          <w:sz w:val="22"/>
        </w:rPr>
        <w:t xml:space="preserve">that no consent of a Swingline Lender shall be required if (x) an Event of Default occurs with respect to the Borrower under </w:t>
      </w:r>
      <w:r>
        <w:rPr>
          <w:rFonts w:ascii="Times New Roman" w:hAnsi="Times New Roman"/>
          <w:color w:val="000000"/>
          <w:sz w:val="22"/>
          <w:u w:val="single"/>
        </w:rPr>
        <w:t>Sections 7.01</w:t>
      </w:r>
      <w:r>
        <w:rPr>
          <w:rFonts w:ascii="Times New Roman" w:hAnsi="Times New Roman"/>
          <w:color w:val="000000"/>
          <w:sz w:val="22"/>
        </w:rPr>
        <w:t xml:space="preserve">(h) or </w:t>
      </w:r>
      <w:r>
        <w:rPr>
          <w:rFonts w:ascii="Times New Roman" w:hAnsi="Times New Roman"/>
          <w:color w:val="000000"/>
          <w:sz w:val="22"/>
          <w:u w:val="single"/>
        </w:rPr>
        <w:t>7.01</w:t>
      </w:r>
      <w:r>
        <w:rPr>
          <w:rFonts w:ascii="Times New Roman" w:hAnsi="Times New Roman"/>
          <w:color w:val="000000"/>
          <w:sz w:val="22"/>
        </w:rPr>
        <w:t>(i) and (y) such Swingline Lender has no outstanding Swingline Loans at that time.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Assignments shall be subject to the following additional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hAnsi="Times New Roman"/>
          <w:i/>
          <w:color w:val="000000"/>
          <w:sz w:val="22"/>
        </w:rPr>
        <w:t xml:space="preserve">provided </w:t>
      </w:r>
      <w:r>
        <w:rPr>
          <w:rFonts w:ascii="Times New Roman" w:hAnsi="Times New Roman"/>
          <w:color w:val="000000"/>
          <w:sz w:val="22"/>
        </w:rPr>
        <w:t>that no such consent of the Borrower shall be required if an Event of Default under Section 7.01(a), (b) or (h) has occurred and is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rPr>
        <w:t xml:space="preserve">each partial assignment shall be made as an assignment of a proportionate part of all the assigning Lender’s rights and obligations under this Agreement; </w:t>
      </w:r>
      <w:r>
        <w:rPr>
          <w:rFonts w:ascii="Times New Roman" w:hAnsi="Times New Roman"/>
          <w:i/>
          <w:color w:val="000000"/>
          <w:sz w:val="22"/>
        </w:rPr>
        <w:t xml:space="preserve">provided </w:t>
      </w:r>
      <w:r>
        <w:rPr>
          <w:rFonts w:ascii="Times New Roman" w:hAnsi="Times New Roman"/>
          <w:color w:val="000000"/>
          <w:sz w:val="22"/>
        </w:rPr>
        <w:t>that this clause shall not be construed to prohibit the assignment of a proportionate part of all the assigning Lender’s rights and obligations in respect of one Class of Commitments or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purposes of this </w:t>
      </w:r>
      <w:r>
        <w:rPr>
          <w:rFonts w:ascii="Times New Roman" w:hAnsi="Times New Roman"/>
          <w:color w:val="000000"/>
          <w:sz w:val="22"/>
          <w:u w:val="single"/>
        </w:rPr>
        <w:t>Section 9.04</w:t>
      </w:r>
      <w:r>
        <w:rPr>
          <w:rFonts w:ascii="Times New Roman" w:hAnsi="Times New Roman"/>
          <w:color w:val="000000"/>
          <w:sz w:val="22"/>
        </w:rPr>
        <w:t>(b), the term “</w:t>
      </w:r>
      <w:r>
        <w:rPr>
          <w:rFonts w:ascii="Times New Roman" w:hAnsi="Times New Roman"/>
          <w:b/>
          <w:i/>
          <w:color w:val="000000"/>
          <w:sz w:val="22"/>
        </w:rPr>
        <w:t>Approved Fund</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i/>
          <w:color w:val="000000"/>
          <w:sz w:val="22"/>
        </w:rPr>
        <w:t>Ineligible Institution</w:t>
      </w:r>
      <w:r>
        <w:rPr>
          <w:rFonts w:ascii="Times New Roman" w:hAnsi="Times New Roman"/>
          <w:color w:val="000000"/>
          <w:sz w:val="20"/>
        </w:rPr>
        <w:t xml:space="preserve">” </w:t>
      </w:r>
      <w:r>
        <w:rPr>
          <w:rFonts w:ascii="Times New Roman" w:hAnsi="Times New Roman"/>
          <w:color w:val="000000"/>
          <w:sz w:val="22"/>
        </w:rPr>
        <w:t>have the following meanings:</w:t>
      </w:r>
    </w:p>
    <w:p>
      <w:pPr>
        <w:pStyle w:val="TextBody"/>
        <w:bidi w:val="0"/>
        <w:spacing w:before="0" w:after="240"/>
        <w:jc w:val="both"/>
        <w:rPr/>
      </w:pPr>
      <w:r>
        <w:rPr>
          <w:color w:val="000000"/>
        </w:rPr>
        <w:t>“</w:t>
      </w:r>
      <w:r>
        <w:rPr>
          <w:rFonts w:ascii="Times New Roman" w:hAnsi="Times New Roman"/>
          <w:b/>
          <w:i/>
          <w:color w:val="000000"/>
          <w:sz w:val="22"/>
        </w:rPr>
        <w:t>Approved Fund</w:t>
      </w:r>
      <w:r>
        <w:rPr>
          <w:rFonts w:ascii="Times New Roman" w:hAnsi="Times New Roman"/>
          <w:color w:val="000000"/>
          <w:sz w:val="20"/>
        </w:rPr>
        <w:t xml:space="preserve">” </w:t>
      </w:r>
      <w:r>
        <w:rPr>
          <w:rFonts w:ascii="Times New Roman" w:hAnsi="Times New Roman"/>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Times New Roman" w:hAnsi="Times New Roman"/>
          <w:b/>
          <w:i/>
          <w:color w:val="000000"/>
          <w:sz w:val="22"/>
        </w:rPr>
        <w:t>Ineligible Institution</w:t>
      </w:r>
      <w:r>
        <w:rPr>
          <w:rFonts w:ascii="Times New Roman" w:hAnsi="Times New Roman"/>
          <w:color w:val="000000"/>
          <w:sz w:val="20"/>
        </w:rPr>
        <w:t xml:space="preserve">” </w:t>
      </w:r>
      <w:r>
        <w:rPr>
          <w:rFonts w:ascii="Times New Roman" w:hAnsi="Times New Roman"/>
          <w:color w:val="000000"/>
          <w:sz w:val="22"/>
        </w:rPr>
        <w:t>means (a) a natural person, (b) a Defaulting Lender or its Lender Parent, (c) [intentionally omitted], (d) a Loan Party or a Subsidiary or other Affiliate of a Loan Party,(e) any Disqualified Lender identified by the Borrower in writing to the Administrative Agent or (f) to any Lender that has made an incorrect representation or warranty or deemed representation or warranty with respect to not being a Net Short Lender as provided in the final paragraph of</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9.19</w:t>
      </w:r>
      <w:r>
        <w:rPr>
          <w:rFonts w:ascii="Times New Roman" w:hAnsi="Times New Roman"/>
          <w:color w:val="000000"/>
          <w:sz w:val="22"/>
        </w:rPr>
        <w:t>. The Borrower hereby consents to the Administrative Agent disclosing the Ineligible Institutions to the Lenders (upon their written request to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pPr>
      <w:r>
        <w:rPr>
          <w:rFonts w:ascii="Times New Roman" w:hAnsi="Times New Roman"/>
          <w:color w:val="000000"/>
          <w:sz w:val="22"/>
        </w:rPr>
        <w:t xml:space="preserve">Subject to acceptance and recording thereof pursuant to paragraph (b)(iv) of this </w:t>
      </w:r>
      <w:r>
        <w:rPr>
          <w:rFonts w:ascii="Times New Roman" w:hAnsi="Times New Roman"/>
          <w:color w:val="000000"/>
          <w:sz w:val="22"/>
          <w:u w:val="single"/>
        </w:rPr>
        <w:t>Section 9.04</w:t>
      </w:r>
      <w:r>
        <w:rPr>
          <w:rFonts w:ascii="Times New Roman" w:hAnsi="Times New Roman"/>
          <w:color w:val="000000"/>
          <w:sz w:val="22"/>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9.03</w:t>
      </w:r>
      <w:r>
        <w:rPr>
          <w:rFonts w:ascii="Times New Roman" w:hAnsi="Times New Roman"/>
          <w:color w:val="000000"/>
          <w:sz w:val="22"/>
        </w:rPr>
        <w:t xml:space="preserve">). Any assignment or transfer by a Lender of rights or obligations under this Agreement that does not comply with this </w:t>
      </w:r>
      <w:r>
        <w:rPr>
          <w:rFonts w:ascii="Times New Roman" w:hAnsi="Times New Roman"/>
          <w:color w:val="000000"/>
          <w:sz w:val="22"/>
          <w:u w:val="single"/>
        </w:rPr>
        <w:t>Section 9.04</w:t>
      </w:r>
      <w:r>
        <w:rPr>
          <w:color w:val="000000"/>
        </w:rPr>
        <w:t xml:space="preserve"> </w:t>
      </w:r>
      <w:r>
        <w:rPr>
          <w:rFonts w:ascii="Times New Roman" w:hAnsi="Times New Roman"/>
          <w:color w:val="000000"/>
          <w:sz w:val="22"/>
        </w:rPr>
        <w:t xml:space="preserve">shall be treated for purposes of this Agreement as a sale by such Lender of a participation in such rights and obligations in accordance with paragraph (c) of this </w:t>
      </w:r>
      <w:r>
        <w:rPr>
          <w:rFonts w:ascii="Times New Roman" w:hAnsi="Times New Roman"/>
          <w:color w:val="000000"/>
          <w:sz w:val="22"/>
          <w:u w:val="single"/>
        </w:rPr>
        <w:t>Section 9.04</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both"/>
        <w:rPr/>
      </w:pPr>
      <w:r>
        <w:rPr>
          <w:rFonts w:ascii="Times New Roman" w:hAnsi="Times New Roman"/>
          <w:color w:val="000000"/>
          <w:sz w:val="22"/>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hAnsi="Times New Roman"/>
          <w:b/>
          <w:i/>
          <w:color w:val="000000"/>
          <w:sz w:val="22"/>
        </w:rPr>
        <w:t>Register</w:t>
      </w:r>
      <w:r>
        <w:rPr>
          <w:color w:val="000000"/>
        </w:rPr>
        <w:t>”</w:t>
      </w:r>
      <w:r>
        <w:rPr>
          <w:rFonts w:ascii="Times New Roman" w:hAnsi="Times New Roman"/>
          <w:color w:val="000000"/>
          <w:sz w:val="22"/>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and, with respect to its own Commitments and Loans, any Issuing Bank and any Lender, at any reasonable time and from time to time upon reasonable prior notice. This Section 9.04(b)(iv) is intended that the Loans and LC Disbursements shall at all times be maintained in “registered form” within the meaning of Sections 163(f), 165(j), 871(h)(2) and 881(c)(2), and 4701 of the Code.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both"/>
        <w:rPr/>
      </w:pPr>
      <w:r>
        <w:rPr>
          <w:rFonts w:ascii="Times New Roman" w:hAnsi="Times New Roman"/>
          <w:color w:val="000000"/>
          <w:sz w:val="22"/>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w:t>
      </w:r>
      <w:r>
        <w:rPr>
          <w:rFonts w:ascii="Times New Roman" w:hAnsi="Times New Roman"/>
          <w:color w:val="000000"/>
          <w:sz w:val="22"/>
          <w:u w:val="single"/>
        </w:rPr>
        <w:t>Section 9.04</w:t>
      </w:r>
      <w:r>
        <w:rPr>
          <w:color w:val="000000"/>
        </w:rPr>
        <w:t xml:space="preserve"> </w:t>
      </w:r>
      <w:r>
        <w:rPr>
          <w:rFonts w:ascii="Times New Roman" w:hAnsi="Times New Roman"/>
          <w:color w:val="000000"/>
          <w:sz w:val="22"/>
        </w:rPr>
        <w:t xml:space="preserve">and any written consent to such assignment required by paragraph (b) of this </w:t>
      </w:r>
      <w:r>
        <w:rPr>
          <w:rFonts w:ascii="Times New Roman" w:hAnsi="Times New Roman"/>
          <w:color w:val="000000"/>
          <w:sz w:val="22"/>
          <w:u w:val="single"/>
        </w:rPr>
        <w:t>Section 9.04</w:t>
      </w:r>
      <w:r>
        <w:rPr>
          <w:rFonts w:ascii="Times New Roman" w:hAnsi="Times New Roman"/>
          <w:color w:val="000000"/>
          <w:sz w:val="22"/>
        </w:rPr>
        <w:t xml:space="preserve">, the Administrative Agent shall accept such Assignment and Assumption and record the information contained therein in the Register; </w:t>
      </w:r>
      <w:r>
        <w:rPr>
          <w:rFonts w:ascii="Times New Roman" w:hAnsi="Times New Roman"/>
          <w:i/>
          <w:color w:val="000000"/>
          <w:sz w:val="22"/>
        </w:rPr>
        <w:t xml:space="preserve">provided </w:t>
      </w:r>
      <w:r>
        <w:rPr>
          <w:rFonts w:ascii="Times New Roman" w:hAnsi="Times New Roman"/>
          <w:color w:val="000000"/>
          <w:sz w:val="22"/>
        </w:rPr>
        <w:t xml:space="preserve">that if either the assigning Lender or the assignee shall have failed to make any payment required to be made by it pursuant to </w:t>
      </w:r>
      <w:r>
        <w:rPr>
          <w:rFonts w:ascii="Times New Roman" w:hAnsi="Times New Roman"/>
          <w:color w:val="000000"/>
          <w:sz w:val="22"/>
          <w:u w:val="single"/>
        </w:rPr>
        <w:t>Section 2.05(d)</w:t>
      </w:r>
      <w:r>
        <w:rPr>
          <w:rFonts w:ascii="Times New Roman" w:hAnsi="Times New Roman"/>
          <w:color w:val="000000"/>
          <w:sz w:val="22"/>
        </w:rPr>
        <w:t xml:space="preserve">, </w:t>
      </w:r>
      <w:r>
        <w:rPr>
          <w:rFonts w:ascii="Times New Roman" w:hAnsi="Times New Roman"/>
          <w:color w:val="000000"/>
          <w:sz w:val="22"/>
          <w:u w:val="single"/>
        </w:rPr>
        <w:t>2.06(d)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(e)</w:t>
      </w:r>
      <w:r>
        <w:rPr>
          <w:rFonts w:ascii="Times New Roman" w:hAnsi="Times New Roman"/>
          <w:color w:val="000000"/>
          <w:sz w:val="22"/>
        </w:rPr>
        <w:t xml:space="preserve">, </w:t>
      </w:r>
      <w:r>
        <w:rPr>
          <w:rFonts w:ascii="Times New Roman" w:hAnsi="Times New Roman"/>
          <w:color w:val="000000"/>
          <w:sz w:val="22"/>
          <w:u w:val="single"/>
        </w:rPr>
        <w:t>2.07(b)</w:t>
      </w:r>
      <w:r>
        <w:rPr>
          <w:rFonts w:ascii="Times New Roman" w:hAnsi="Times New Roman"/>
          <w:color w:val="000000"/>
          <w:sz w:val="22"/>
        </w:rPr>
        <w:t xml:space="preserve">, </w:t>
      </w:r>
      <w:r>
        <w:rPr>
          <w:rFonts w:ascii="Times New Roman" w:hAnsi="Times New Roman"/>
          <w:color w:val="000000"/>
          <w:sz w:val="22"/>
          <w:u w:val="single"/>
        </w:rPr>
        <w:t>2.18(f)</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9.03(d)</w:t>
      </w:r>
      <w:r>
        <w:rPr>
          <w:rFonts w:ascii="Times New Roman" w:hAnsi="Times New Roman"/>
          <w:color w:val="000000"/>
          <w:sz w:val="22"/>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Any Lender may, without the consent of, or notice to, the Borrower, the Administrative Agent, the Issuing Banks or the Swingline Lender, sell participations to one or more banks or other entities (a “</w:t>
      </w:r>
      <w:r>
        <w:rPr>
          <w:rFonts w:ascii="Times New Roman" w:hAnsi="Times New Roman"/>
          <w:b/>
          <w:i/>
          <w:color w:val="000000"/>
          <w:sz w:val="22"/>
        </w:rPr>
        <w:t>Participant</w:t>
      </w:r>
      <w:r>
        <w:rPr>
          <w:color w:val="000000"/>
        </w:rPr>
        <w:t>”</w:t>
      </w:r>
      <w:r>
        <w:rPr>
          <w:rFonts w:ascii="Times New Roman" w:hAnsi="Times New Roman"/>
          <w:color w:val="000000"/>
          <w:sz w:val="22"/>
        </w:rPr>
        <w:t xml:space="preserve">), other than an Ineligible Institution, in all or a portion of such Lender’s rights and obligations under this Agreement (including all or a portion of its Commitment and the Loans owing to it); </w:t>
      </w:r>
      <w:r>
        <w:rPr>
          <w:rFonts w:ascii="Times New Roman" w:hAnsi="Times New Roman"/>
          <w:i/>
          <w:color w:val="000000"/>
          <w:sz w:val="22"/>
        </w:rPr>
        <w:t xml:space="preserve">provided </w:t>
      </w:r>
      <w:r>
        <w:rPr>
          <w:rFonts w:ascii="Times New Roman" w:hAnsi="Times New Roman"/>
          <w:color w:val="000000"/>
          <w:sz w:val="22"/>
        </w:rPr>
        <w:t xml:space="preserve">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olor w:val="000000"/>
          <w:sz w:val="22"/>
        </w:rPr>
        <w:t xml:space="preserve">provided </w:t>
      </w:r>
      <w:r>
        <w:rPr>
          <w:rFonts w:ascii="Times New Roman" w:hAnsi="Times New Roman"/>
          <w:color w:val="000000"/>
          <w:sz w:val="22"/>
        </w:rPr>
        <w:t xml:space="preserve">that such agreement or instrument may provide that such Lender will not, without the consent of the Participant, agree to any amendment, modification or waiver described in the first proviso to </w:t>
      </w:r>
      <w:r>
        <w:rPr>
          <w:rFonts w:ascii="Times New Roman" w:hAnsi="Times New Roman"/>
          <w:color w:val="000000"/>
          <w:sz w:val="22"/>
          <w:u w:val="single"/>
        </w:rPr>
        <w:t>Section 9.02(b)</w:t>
      </w:r>
      <w:r>
        <w:rPr>
          <w:color w:val="000000"/>
        </w:rPr>
        <w:t xml:space="preserve"> </w:t>
      </w:r>
      <w:r>
        <w:rPr>
          <w:rFonts w:ascii="Times New Roman" w:hAnsi="Times New Roman"/>
          <w:color w:val="000000"/>
          <w:sz w:val="22"/>
        </w:rPr>
        <w:t xml:space="preserve">that directly and adversely affects such Participant. The Borrower agrees that each Participant shall be entitled to the benefits of </w:t>
      </w:r>
      <w:r>
        <w:rPr>
          <w:rFonts w:ascii="Times New Roman" w:hAnsi="Times New Roman"/>
          <w:color w:val="000000"/>
          <w:sz w:val="22"/>
          <w:u w:val="single"/>
        </w:rPr>
        <w:t>Sections 2.15</w:t>
      </w:r>
      <w:r>
        <w:rPr>
          <w:rFonts w:ascii="Times New Roman" w:hAnsi="Times New Roman"/>
          <w:color w:val="000000"/>
          <w:sz w:val="22"/>
        </w:rPr>
        <w:t xml:space="preserve">, and </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(subject to the requirements and limitations therein, including the requirements under </w:t>
      </w:r>
      <w:r>
        <w:rPr>
          <w:rFonts w:ascii="Times New Roman" w:hAnsi="Times New Roman"/>
          <w:color w:val="000000"/>
          <w:sz w:val="22"/>
          <w:u w:val="single"/>
        </w:rPr>
        <w:t>Section 2.17(f)</w:t>
      </w:r>
      <w:r>
        <w:rPr>
          <w:color w:val="000000"/>
        </w:rPr>
        <w:t xml:space="preserve"> </w:t>
      </w:r>
      <w:r>
        <w:rPr>
          <w:rFonts w:ascii="Times New Roman" w:hAnsi="Times New Roman"/>
          <w:color w:val="000000"/>
          <w:sz w:val="22"/>
        </w:rPr>
        <w:t xml:space="preserve">(it being understood that the documentation required under </w:t>
      </w:r>
      <w:r>
        <w:rPr>
          <w:rFonts w:ascii="Times New Roman" w:hAnsi="Times New Roman"/>
          <w:color w:val="000000"/>
          <w:sz w:val="22"/>
          <w:u w:val="single"/>
        </w:rPr>
        <w:t>Section 2.17(f)</w:t>
      </w:r>
      <w:r>
        <w:rPr>
          <w:color w:val="000000"/>
        </w:rPr>
        <w:t xml:space="preserve"> </w:t>
      </w:r>
      <w:r>
        <w:rPr>
          <w:rFonts w:ascii="Times New Roman" w:hAnsi="Times New Roman"/>
          <w:color w:val="000000"/>
          <w:sz w:val="22"/>
        </w:rPr>
        <w:t xml:space="preserve">shall be delivered solely to the participating Lender)) to the same extent as if it were a Lender and had acquired its interest by assignment pursuant to paragraph (b) of this </w:t>
      </w:r>
      <w:r>
        <w:rPr>
          <w:rFonts w:ascii="Times New Roman" w:hAnsi="Times New Roman"/>
          <w:color w:val="000000"/>
          <w:sz w:val="22"/>
          <w:u w:val="single"/>
        </w:rPr>
        <w:t>Section 9.04</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such Participant (A) shall be subject to the provisions of </w:t>
      </w:r>
      <w:r>
        <w:rPr>
          <w:rFonts w:ascii="Times New Roman" w:hAnsi="Times New Roman"/>
          <w:color w:val="000000"/>
          <w:sz w:val="22"/>
          <w:u w:val="single"/>
        </w:rPr>
        <w:t>Section 2.19</w:t>
      </w:r>
      <w:r>
        <w:rPr>
          <w:color w:val="000000"/>
        </w:rPr>
        <w:t xml:space="preserve"> </w:t>
      </w:r>
      <w:r>
        <w:rPr>
          <w:rFonts w:ascii="Times New Roman" w:hAnsi="Times New Roman"/>
          <w:color w:val="000000"/>
          <w:sz w:val="22"/>
        </w:rPr>
        <w:t xml:space="preserve">as if it were an assignee under paragraph (b) of this </w:t>
      </w:r>
      <w:r>
        <w:rPr>
          <w:rFonts w:ascii="Times New Roman" w:hAnsi="Times New Roman"/>
          <w:color w:val="000000"/>
          <w:sz w:val="22"/>
          <w:u w:val="single"/>
        </w:rPr>
        <w:t>Section 9.04</w:t>
      </w:r>
      <w:r>
        <w:rPr>
          <w:rFonts w:ascii="Times New Roman" w:hAnsi="Times New Roman"/>
          <w:color w:val="000000"/>
          <w:sz w:val="22"/>
        </w:rPr>
        <w:t xml:space="preserve">; and (B) shall not be entitled to receive any greater payment under </w:t>
      </w:r>
      <w:r>
        <w:rPr>
          <w:rFonts w:ascii="Times New Roman" w:hAnsi="Times New Roman"/>
          <w:color w:val="000000"/>
          <w:sz w:val="22"/>
          <w:u w:val="single"/>
        </w:rPr>
        <w:t>Section 2.15</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2.17</w:t>
      </w:r>
      <w:r>
        <w:rPr>
          <w:rFonts w:ascii="Times New Roman" w:hAnsi="Times New Roman"/>
          <w:color w:val="000000"/>
          <w:sz w:val="22"/>
        </w:rPr>
        <w:t>, with respect to any participation, than its participating Lender would have been entitled to receive, unless the participation is made with the prior written consent of the Borrower (such consent not to be unreasonably withheld, conditioned or delayed).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Each Lender that sells a participation agrees, at the Borrower’s request and expense, to use commercially reasonable efforts to cooperate with the Borrower to effectuate the provisions of </w:t>
      </w:r>
      <w:r>
        <w:rPr>
          <w:rFonts w:ascii="Times New Roman" w:hAnsi="Times New Roman"/>
          <w:color w:val="000000"/>
          <w:sz w:val="22"/>
          <w:u w:val="single"/>
        </w:rPr>
        <w:t>Section 2.19(b)</w:t>
      </w:r>
      <w:r>
        <w:rPr>
          <w:color w:val="000000"/>
        </w:rPr>
        <w:t xml:space="preserve"> </w:t>
      </w:r>
      <w:r>
        <w:rPr>
          <w:rFonts w:ascii="Times New Roman" w:hAnsi="Times New Roman"/>
          <w:color w:val="000000"/>
          <w:sz w:val="22"/>
        </w:rPr>
        <w:t xml:space="preserve">with respect to any Participant. To the extent permitted by law, each Participant also shall be entitled to the benefits of </w:t>
      </w:r>
      <w:r>
        <w:rPr>
          <w:rFonts w:ascii="Times New Roman" w:hAnsi="Times New Roman"/>
          <w:color w:val="000000"/>
          <w:sz w:val="22"/>
          <w:u w:val="single"/>
        </w:rPr>
        <w:t>Section 9.08</w:t>
      </w:r>
      <w:r>
        <w:rPr>
          <w:color w:val="000000"/>
        </w:rPr>
        <w:t xml:space="preserve"> </w:t>
      </w:r>
      <w:r>
        <w:rPr>
          <w:rFonts w:ascii="Times New Roman" w:hAnsi="Times New Roman"/>
          <w:color w:val="000000"/>
          <w:sz w:val="22"/>
        </w:rPr>
        <w:t xml:space="preserve">as though it were a Lender; </w:t>
      </w:r>
      <w:r>
        <w:rPr>
          <w:rFonts w:ascii="Times New Roman" w:hAnsi="Times New Roman"/>
          <w:i/>
          <w:color w:val="000000"/>
          <w:sz w:val="22"/>
        </w:rPr>
        <w:t xml:space="preserve">provided </w:t>
      </w:r>
      <w:r>
        <w:rPr>
          <w:rFonts w:ascii="Times New Roman" w:hAnsi="Times New Roman"/>
          <w:color w:val="000000"/>
          <w:sz w:val="22"/>
        </w:rPr>
        <w:t xml:space="preserve">that such Participant agrees to be subject to </w:t>
      </w:r>
      <w:r>
        <w:rPr>
          <w:rFonts w:ascii="Times New Roman" w:hAnsi="Times New Roman"/>
          <w:color w:val="000000"/>
          <w:sz w:val="22"/>
          <w:u w:val="single"/>
        </w:rPr>
        <w:t>Section 2.18(c)</w:t>
      </w:r>
      <w:r>
        <w:rPr>
          <w:color w:val="000000"/>
        </w:rPr>
        <w:t xml:space="preserve"> </w:t>
      </w:r>
      <w:r>
        <w:rPr>
          <w:rFonts w:ascii="Times New Roman" w:hAnsi="Times New Roman"/>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b/>
          <w:i/>
          <w:color w:val="000000"/>
          <w:sz w:val="22"/>
        </w:rPr>
        <w:t>Participant Register</w:t>
      </w:r>
      <w:r>
        <w:rPr>
          <w:color w:val="00000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Any Lender may at any time pledge or assign a security interest in all or any portion of its rights under this Agreement to secure obligations of such Lender, including any pledge or assignment to secure obligations to a Federal Reserve Bank, and this </w:t>
      </w:r>
      <w:r>
        <w:rPr>
          <w:rFonts w:ascii="Times New Roman" w:hAnsi="Times New Roman"/>
          <w:color w:val="000000"/>
          <w:sz w:val="22"/>
          <w:u w:val="single"/>
        </w:rPr>
        <w:t>Section 9.04</w:t>
      </w:r>
      <w:r>
        <w:rPr>
          <w:color w:val="000000"/>
        </w:rPr>
        <w:t xml:space="preserve"> </w:t>
      </w:r>
      <w:r>
        <w:rPr>
          <w:rFonts w:ascii="Times New Roman" w:hAnsi="Times New Roman"/>
          <w:color w:val="000000"/>
          <w:sz w:val="22"/>
        </w:rPr>
        <w:t xml:space="preserve">shall not apply to any such pledge or assignment of a security interest; </w:t>
      </w:r>
      <w:r>
        <w:rPr>
          <w:rFonts w:ascii="Times New Roman" w:hAnsi="Times New Roman"/>
          <w:i/>
          <w:color w:val="000000"/>
          <w:sz w:val="22"/>
        </w:rPr>
        <w:t xml:space="preserve">provided </w:t>
      </w:r>
      <w:r>
        <w:rPr>
          <w:rFonts w:ascii="Times New Roman" w:hAnsi="Times New Roman"/>
          <w:color w:val="000000"/>
          <w:sz w:val="22"/>
        </w:rPr>
        <w:t xml:space="preserve">that no such pledge or assignment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 security interest shall release a Lender from any of its obligations hereunder or substitute any such pledgee or assignee for such Lender as a party hereto.</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14.05</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xml:space="preserve">. All covenants, agreements, representations and warranties made by the Borrower herein and in the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9.03</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 xml:space="preserve">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Further, notwithstanding any other provisions herein or in any Loan Document to the contrary, no action taken and reported to the Administrative Agent and the Lenders shall provide the basis for any Event of Default more than two (2) years after the date on which such action was disclosed in writing by the Borrower to the Lenders; provided that such two year limitation will not apply with respect to any Default or Event of Default if the Administrative Agent or the Required Lenders have exercised remedies in respect of such Default or Event of Default prior to such time, in each case, in accordance with the terms of this Agreement.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14.06</w:t>
      </w:r>
    </w:p>
    <w:p>
      <w:pPr>
        <w:pStyle w:val="TextBody"/>
        <w:bidi w:val="0"/>
        <w:spacing w:before="0" w:after="240"/>
        <w:jc w:val="both"/>
        <w:rPr/>
      </w:pPr>
      <w:r>
        <w:rPr>
          <w:rFonts w:ascii="Times New Roman" w:hAnsi="Times New Roman"/>
          <w:color w:val="000000"/>
          <w:sz w:val="22"/>
          <w:u w:val="single"/>
        </w:rPr>
        <w:t>Counterparts; Integration; Effectiveness; Electronic Execution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Issuing Bank Sublimit of any Issuing Bank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2"/>
          <w:u w:val="single"/>
        </w:rPr>
        <w:t>Section 4.01</w:t>
      </w:r>
      <w:r>
        <w:rPr>
          <w:rFonts w:ascii="Times New Roman" w:hAnsi="Times New Roman"/>
          <w:color w:val="000000"/>
          <w:sz w:val="22"/>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hAnsi="Times New Roman"/>
          <w:color w:val="000000"/>
          <w:sz w:val="22"/>
          <w:u w:val="single"/>
        </w:rPr>
        <w:t>Section 9.01</w:t>
      </w:r>
      <w:r>
        <w:rPr>
          <w:rFonts w:ascii="Times New Roman" w:hAnsi="Times New Roman"/>
          <w:color w:val="000000"/>
          <w:sz w:val="22"/>
        </w:rPr>
        <w:t>), certificate, request, statement, disclosure or authorization related to this Agreement, any other Loan Document and/or the transactions contemplated hereby and/or thereby (each an “</w:t>
      </w:r>
      <w:r>
        <w:rPr>
          <w:rFonts w:ascii="Times New Roman" w:hAnsi="Times New Roman"/>
          <w:b/>
          <w:i/>
          <w:color w:val="000000"/>
          <w:sz w:val="22"/>
        </w:rPr>
        <w:t>Ancillary Document</w:t>
      </w:r>
      <w:r>
        <w:rPr>
          <w:color w:val="000000"/>
        </w:rPr>
        <w:t>”</w:t>
      </w:r>
      <w:r>
        <w:rPr>
          <w:rFonts w:ascii="Times New Roman" w:hAnsi="Times New Roman"/>
          <w:color w:val="000000"/>
          <w:sz w:val="22"/>
        </w:rPr>
        <w:t xml:space="preserve">)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hAnsi="Times New Roman"/>
          <w:i/>
          <w:color w:val="000000"/>
          <w:sz w:val="22"/>
        </w:rPr>
        <w:t xml:space="preserve">provided </w:t>
      </w:r>
      <w:r>
        <w:rPr>
          <w:rFonts w:ascii="Times New Roman" w:hAnsi="Times New Roman"/>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14.07</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14.08</w:t>
      </w:r>
    </w:p>
    <w:p>
      <w:pPr>
        <w:pStyle w:val="TextBody"/>
        <w:bidi w:val="0"/>
        <w:spacing w:before="0" w:after="240"/>
        <w:jc w:val="both"/>
        <w:rPr/>
      </w:pPr>
      <w:r>
        <w:rPr>
          <w:rFonts w:ascii="Times New Roman" w:hAnsi="Times New Roman"/>
          <w:color w:val="000000"/>
          <w:sz w:val="22"/>
          <w:u w:val="single"/>
        </w:rPr>
        <w:t>Right of Setoff</w:t>
      </w:r>
      <w:r>
        <w:rPr>
          <w:rFonts w:ascii="Times New Roman" w:hAnsi="Times New Roman"/>
          <w:color w:val="000000"/>
          <w:sz w:val="22"/>
        </w:rPr>
        <w:t xml:space="preserve">. Subject to the terms of any Acceptable Subordination or Intercreditor Agreement,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but excluding any escrow, trust, or tax accounts) (other than those deposits held on a Loan Party’s behalf composed of escrow, payroll and Taxes due thereon or on wages already paid, employee health and benefits, pension, fiduciary, 401(k), petty cash, trust and accounts withheld from payments to third parties intended to be paid over by such Loan Party to a Governmental Authority as withholding Tax) at any time held, and other obligations at any time owing, by such Lender, such Issuing Bank or any such Affiliate, to or for the credit or the account of any Loan Party against any and all of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obligations of any Loan Party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w:t>
      </w:r>
      <w:r>
        <w:rPr>
          <w:rFonts w:ascii="Times New Roman" w:hAnsi="Times New Roman"/>
          <w:i/>
          <w:color w:val="000000"/>
          <w:sz w:val="22"/>
        </w:rPr>
        <w:t xml:space="preserve">provided </w:t>
      </w:r>
      <w:r>
        <w:rPr>
          <w:rFonts w:ascii="Times New Roman" w:hAnsi="Times New Roman"/>
          <w:color w:val="000000"/>
          <w:sz w:val="22"/>
        </w:rPr>
        <w:t xml:space="preserve">that in the event that any Defaulting Lender shall exercise any such right of setoff, (x) all amounts so setoff shall be paid over immediately to the Administrative Agent for further application in accordance with the provisions of </w:t>
      </w:r>
      <w:r>
        <w:rPr>
          <w:rFonts w:ascii="Times New Roman" w:hAnsi="Times New Roman"/>
          <w:color w:val="000000"/>
          <w:sz w:val="22"/>
          <w:u w:val="single"/>
        </w:rPr>
        <w:t>Section 2.20</w:t>
      </w:r>
      <w:r>
        <w:rPr>
          <w:color w:val="000000"/>
        </w:rPr>
        <w:t xml:space="preserve"> </w:t>
      </w:r>
      <w:r>
        <w:rPr>
          <w:rFonts w:ascii="Times New Roman" w:hAnsi="Times New Roman"/>
          <w:color w:val="000000"/>
          <w:sz w:val="22"/>
        </w:rPr>
        <w:t xml:space="preserve">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w:t>
      </w:r>
      <w:r>
        <w:rPr>
          <w:rFonts w:ascii="Times New Roman" w:hAnsi="Times New Roman"/>
          <w:color w:val="000000"/>
          <w:sz w:val="22"/>
          <w:u w:val="single"/>
        </w:rPr>
        <w:t>Section 9.08</w:t>
      </w:r>
      <w:r>
        <w:rPr>
          <w:color w:val="000000"/>
        </w:rPr>
        <w:t xml:space="preserve"> </w:t>
      </w:r>
      <w:r>
        <w:rPr>
          <w:rFonts w:ascii="Times New Roman" w:hAnsi="Times New Roman"/>
          <w:color w:val="000000"/>
          <w:sz w:val="22"/>
        </w:rPr>
        <w:t xml:space="preserve">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 w:hAnsi="Times New Roman"/>
          <w:i/>
          <w:color w:val="000000"/>
          <w:sz w:val="22"/>
        </w:rPr>
        <w:t xml:space="preserve">provided </w:t>
      </w:r>
      <w:r>
        <w:rPr>
          <w:rFonts w:ascii="Times New Roman" w:hAnsi="Times New Roman"/>
          <w:color w:val="000000"/>
          <w:sz w:val="22"/>
        </w:rPr>
        <w:t>that the failure to give such notice shall not affect the validity of such setoff and application.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14.09</w:t>
      </w:r>
    </w:p>
    <w:p>
      <w:pPr>
        <w:pStyle w:val="TextBody"/>
        <w:bidi w:val="0"/>
        <w:spacing w:before="0" w:after="240"/>
        <w:jc w:val="both"/>
        <w:rPr/>
      </w:pPr>
      <w:r>
        <w:rPr>
          <w:rFonts w:ascii="Times New Roman" w:hAnsi="Times New Roman"/>
          <w:color w:val="000000"/>
          <w:sz w:val="22"/>
          <w:u w:val="single"/>
        </w:rPr>
        <w:t>Governing Law; Jurisdiction; Consent to Service of Process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and the other Loan Documents shall be construed in accordance with and governed by the Law of the State of New York.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Lenders and the Administrative Agent hereby irrevocably and unconditionally agrees that, notwithstanding the governing law provisions of any applicable Loan Document, any claims brought against the Administrative Agent, any Secured Party or any of their respective Related Parties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or any other Loan Document against the Borrower,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Each party to this Agreement irrevocably consents to service of process in the manner provided for notices in </w:t>
      </w:r>
      <w:r>
        <w:rPr>
          <w:rFonts w:ascii="Times New Roman" w:hAnsi="Times New Roman"/>
          <w:color w:val="000000"/>
          <w:sz w:val="22"/>
          <w:u w:val="single"/>
        </w:rPr>
        <w:t>Section 9.01</w:t>
      </w:r>
      <w:r>
        <w:rPr>
          <w:rFonts w:ascii="Times New Roman" w:hAnsi="Times New Roman"/>
          <w:color w:val="000000"/>
          <w:sz w:val="22"/>
        </w:rPr>
        <w:t>. Nothing in this Agreement or any other Loan Document will affect the right of any party to this Agreement to serve process in any other manner permitted by law.</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14.10</w:t>
      </w:r>
    </w:p>
    <w:p>
      <w:pPr>
        <w:pStyle w:val="TextBody"/>
        <w:bidi w:val="0"/>
        <w:spacing w:before="0" w:after="240"/>
        <w:jc w:val="both"/>
        <w:rPr/>
      </w:pPr>
      <w:r>
        <w:rPr>
          <w:rFonts w:ascii="Times New Roman" w:hAnsi="Times New Roman"/>
          <w:color w:val="000000"/>
          <w:sz w:val="22"/>
          <w:u w:val="single"/>
        </w:rPr>
        <w:t>WAIVER OF JURY TRIAL</w:t>
      </w:r>
      <w:r>
        <w:rPr>
          <w:rFonts w:ascii="Times New Roman" w:hAnsi="Times New Roman"/>
          <w:color w:val="000000"/>
          <w:sz w:val="22"/>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14.11</w:t>
      </w:r>
    </w:p>
    <w:p>
      <w:pPr>
        <w:pStyle w:val="TextBody"/>
        <w:bidi w:val="0"/>
        <w:spacing w:before="0" w:after="240"/>
        <w:jc w:val="both"/>
        <w:rPr/>
      </w:pPr>
      <w:r>
        <w:rPr>
          <w:rFonts w:ascii="Times New Roman" w:hAnsi="Times New Roman"/>
          <w:color w:val="000000"/>
          <w:sz w:val="22"/>
          <w:u w:val="single"/>
        </w:rPr>
        <w:t>Headings</w:t>
      </w:r>
      <w:r>
        <w:rPr>
          <w:rFonts w:ascii="Times New Roman" w:hAnsi="Times New Roman"/>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14.12</w:t>
      </w:r>
    </w:p>
    <w:p>
      <w:pPr>
        <w:pStyle w:val="TextBody"/>
        <w:bidi w:val="0"/>
        <w:spacing w:before="0" w:after="240"/>
        <w:jc w:val="both"/>
        <w:rPr/>
      </w:pPr>
      <w:r>
        <w:rPr>
          <w:rFonts w:ascii="Times New Roman" w:hAnsi="Times New Roman"/>
          <w:color w:val="000000"/>
          <w:sz w:val="22"/>
          <w:u w:val="single"/>
        </w:rPr>
        <w:t>Confidentiality</w:t>
      </w:r>
      <w:r>
        <w:rPr>
          <w:rFonts w:ascii="Times New Roman" w:hAnsi="Times New Roman"/>
          <w:color w:val="000000"/>
          <w:sz w:val="22"/>
        </w:rPr>
        <w:t xml:space="preserve">. Each of the Administrative Agent,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and such Administrative Agent, Issuing Bank and Lender shall be liable for such Persons to whom such disclosure is made to the extent such Person fails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provided that the Administrative Agent or such Lender, as applicable, agrees that it will notify the Borrower as soon as practicable in the event of any such disclosure by such Person (other than at the request of a regulatory authority) unless such notification is prohibited by law, rule or regulation, (d) to any other party to this Agreement, (e) in connection with the exercise of any remedies hereunder or under any other Loan Document or any suit, action or proceeding relating to this Agreement or the enforcement of rights hereunder or under any other Loan Document, (f) subject to an agreement containing provisions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substantially the same as those of this Section, to (i) any assignee of or Participant in, or any prospective assignee of or Participant in, any of its rights or obligations under this Agreement or (ii) any actual or prospective counterparty (or its advisors) to any swap, derivative or insurance transaction relating to the Loan Parties and their obligations, (g) on a confidential basis to (i) any rating agency in connection with rating the Borrower or its Subsidiaries or the credit facilities provided for herein or (ii) the CUSIP Service Bureau or any similar agency in connection with the issuance and monitoring of identification numbers with respect to the credit facilities provided for herein, (h) with the prior consent of the Borrower, or (i) to the extent such Information (i) becomes publicly available other than as a result of a breach of this Section, (ii) becomes available to the Administrative Agent, any Lender, any Issuing Bank or any of their respective branches or Affiliates on a nonconfidential basis from a source other than the Borrower that is not known to be subject to a confidentiality or fiduciary obligation to the Borrower or its Subsidiaries or Affiliates or (iii) is independently discovered or developed by a party hereto without utilizing any Information received from the Borrower or violating the terms of this Section. For the purposes of this Section, “Information” means all information received from the Loan Parties or from other Persons on their behalf relating to the Loan Parties, their Subsidiaries or their business, other than any such information that is available to the Administrative Agent, any Issuing Bank or any Lender on a non-confidential basis prior to disclosure by the Borrower and other than customary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nothing in this </w:t>
      </w:r>
      <w:r>
        <w:rPr>
          <w:rFonts w:ascii="Times New Roman" w:hAnsi="Times New Roman"/>
          <w:color w:val="000000"/>
          <w:sz w:val="22"/>
          <w:u w:val="single"/>
        </w:rPr>
        <w:t>Section 9.12</w:t>
      </w:r>
      <w:r>
        <w:rPr>
          <w:rFonts w:ascii="Times New Roman" w:hAnsi="Times New Roman"/>
          <w:color w:val="000000"/>
          <w:sz w:val="20"/>
        </w:rPr>
        <w:t xml:space="preserve"> </w:t>
      </w:r>
      <w:r>
        <w:rPr>
          <w:rFonts w:ascii="Times New Roman" w:hAnsi="Times New Roman"/>
          <w:color w:val="000000"/>
          <w:sz w:val="22"/>
        </w:rPr>
        <w:t>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b/>
          <w:i/>
          <w:color w:val="000000"/>
          <w:sz w:val="22"/>
        </w:rPr>
        <w:t>Regulatory Authority</w:t>
      </w:r>
      <w:r>
        <w:rPr>
          <w:rFonts w:ascii="Times New Roman" w:hAnsi="Times New Roman"/>
          <w:color w:val="000000"/>
          <w:sz w:val="20"/>
        </w:rPr>
        <w:t>”</w:t>
      </w:r>
      <w:r>
        <w:rPr>
          <w:rFonts w:ascii="Times New Roman" w:hAnsi="Times New Roman"/>
          <w:color w:val="000000"/>
          <w:sz w:val="22"/>
        </w:rPr>
        <w:t xml:space="preserve">) to the extent that any such prohibition on disclosure set forth in this </w:t>
      </w:r>
      <w:r>
        <w:rPr>
          <w:rFonts w:ascii="Times New Roman" w:hAnsi="Times New Roman"/>
          <w:color w:val="000000"/>
          <w:sz w:val="22"/>
          <w:u w:val="single"/>
        </w:rPr>
        <w:t>Section 9.12</w:t>
      </w:r>
      <w:r>
        <w:rPr>
          <w:rFonts w:ascii="Times New Roman" w:hAnsi="Times New Roman"/>
          <w:color w:val="000000"/>
          <w:sz w:val="20"/>
        </w:rPr>
        <w:t xml:space="preserve"> </w:t>
      </w:r>
      <w:r>
        <w:rPr>
          <w:rFonts w:ascii="Times New Roman" w:hAnsi="Times New Roman"/>
          <w:color w:val="000000"/>
          <w:sz w:val="22"/>
        </w:rPr>
        <w:t>shall be prohibited by the laws or regulations applicable to such Regulatory Authority.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14.13</w:t>
      </w:r>
    </w:p>
    <w:p>
      <w:pPr>
        <w:pStyle w:val="TextBody"/>
        <w:bidi w:val="0"/>
        <w:spacing w:before="0" w:after="240"/>
        <w:jc w:val="both"/>
        <w:rPr/>
      </w:pPr>
      <w:r>
        <w:rPr>
          <w:rFonts w:ascii="Times New Roman" w:hAnsi="Times New Roman"/>
          <w:color w:val="000000"/>
          <w:sz w:val="22"/>
          <w:u w:val="single"/>
        </w:rPr>
        <w:t>Several Obligations; Nonreliance; Violation of Law</w:t>
      </w:r>
      <w:r>
        <w:rPr>
          <w:rFonts w:ascii="Times New Roman" w:hAnsi="Times New Roman"/>
          <w:color w:val="000000"/>
          <w:sz w:val="22"/>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14.14</w:t>
      </w:r>
    </w:p>
    <w:p>
      <w:pPr>
        <w:pStyle w:val="TextBody"/>
        <w:bidi w:val="0"/>
        <w:spacing w:before="0" w:after="240"/>
        <w:jc w:val="both"/>
        <w:rPr/>
      </w:pPr>
      <w:r>
        <w:rPr>
          <w:rFonts w:ascii="Times New Roman" w:hAnsi="Times New Roman"/>
          <w:color w:val="000000"/>
          <w:sz w:val="22"/>
          <w:u w:val="single"/>
        </w:rPr>
        <w:t>USA PATRIOT Act and Beneficial Ownership</w:t>
      </w:r>
      <w:r>
        <w:rPr>
          <w:rFonts w:ascii="Times New Roman" w:hAnsi="Times New Roman"/>
          <w:color w:val="000000"/>
          <w:sz w:val="22"/>
        </w:rPr>
        <w:t>. Each Lender that is subject to the requirements of the USA PATRIOT Act of 2001 (the “</w:t>
      </w:r>
      <w:r>
        <w:rPr>
          <w:rFonts w:ascii="Times New Roman" w:hAnsi="Times New Roman"/>
          <w:b/>
          <w:i/>
          <w:color w:val="000000"/>
          <w:sz w:val="22"/>
        </w:rPr>
        <w:t>USA Patriot Act</w:t>
      </w:r>
      <w:r>
        <w:rPr>
          <w:color w:val="000000"/>
        </w:rPr>
        <w:t>”</w:t>
      </w:r>
      <w:r>
        <w:rPr>
          <w:rFonts w:ascii="Times New Roman" w:hAnsi="Times New Roman"/>
          <w:color w:val="000000"/>
          <w:sz w:val="22"/>
        </w:rPr>
        <w:t>) and Beneficial Ownership Regulation hereby notifies the Borrower that pursuant to the requirements of the Patriot Act and Beneficial Ownership Regulation, it is required to obtain, verify and record information that identifies the Borrower, which information includes the name and address of the Borrower and other information that will allow such Lender to identify the Borrower in accordance with the Patriot Act and Beneficial Ownership Regulation.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14.15</w:t>
      </w:r>
    </w:p>
    <w:p>
      <w:pPr>
        <w:pStyle w:val="TextBody"/>
        <w:bidi w:val="0"/>
        <w:spacing w:before="0" w:after="240"/>
        <w:jc w:val="both"/>
        <w:rPr/>
      </w:pPr>
      <w:r>
        <w:rPr>
          <w:rFonts w:ascii="Times New Roman" w:hAnsi="Times New Roman"/>
          <w:color w:val="000000"/>
          <w:sz w:val="22"/>
          <w:u w:val="single"/>
        </w:rPr>
        <w:t>Disclosure</w:t>
      </w:r>
      <w:r>
        <w:rPr>
          <w:rFonts w:ascii="Times New Roman" w:hAnsi="Times New Roman"/>
          <w:color w:val="000000"/>
          <w:sz w:val="22"/>
        </w:rPr>
        <w:t xml:space="preserve">. Each Loan Party, each Lender and each Issuing Bank hereby acknowledges and agrees that the Administrative Agent and/or its Affiliates from time to time may hold investments in, make other loans to or have other relationships with, any of the Loan Parties and their respective Affiliates.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14.16</w:t>
      </w:r>
    </w:p>
    <w:p>
      <w:pPr>
        <w:pStyle w:val="TextBody"/>
        <w:bidi w:val="0"/>
        <w:spacing w:before="0" w:after="240"/>
        <w:jc w:val="both"/>
        <w:rPr/>
      </w:pPr>
      <w:r>
        <w:rPr>
          <w:rFonts w:ascii="Times New Roman" w:hAnsi="Times New Roman"/>
          <w:color w:val="000000"/>
          <w:sz w:val="22"/>
          <w:u w:val="single"/>
        </w:rPr>
        <w:t>Appointment for Perfection</w:t>
      </w:r>
      <w:r>
        <w:rPr>
          <w:rFonts w:ascii="Times New Roman" w:hAnsi="Times New Roman"/>
          <w:color w:val="000000"/>
          <w:sz w:val="22"/>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(if applicable) or otherwise deal with such Collateral in accordance with the Administrative Agent’s instructions.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14.17</w:t>
      </w:r>
    </w:p>
    <w:p>
      <w:pPr>
        <w:pStyle w:val="TextBody"/>
        <w:bidi w:val="0"/>
        <w:spacing w:before="0" w:after="240"/>
        <w:jc w:val="both"/>
        <w:rPr/>
      </w:pPr>
      <w:r>
        <w:rPr>
          <w:rFonts w:ascii="Times New Roman" w:hAnsi="Times New Roman"/>
          <w:color w:val="000000"/>
          <w:sz w:val="22"/>
          <w:u w:val="single"/>
        </w:rPr>
        <w:t>Interest Rate Limitation</w:t>
      </w:r>
      <w:r>
        <w:rPr>
          <w:rFonts w:ascii="Times New Roman" w:hAnsi="Times New Roman"/>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b/>
          <w:i/>
          <w:color w:val="000000"/>
          <w:sz w:val="22"/>
        </w:rPr>
        <w:t>Charges</w:t>
      </w:r>
      <w:r>
        <w:rPr>
          <w:color w:val="000000"/>
        </w:rPr>
        <w:t>”</w:t>
      </w:r>
      <w:r>
        <w:rPr>
          <w:rFonts w:ascii="Times New Roman" w:hAnsi="Times New Roman"/>
          <w:color w:val="000000"/>
          <w:sz w:val="22"/>
        </w:rPr>
        <w:t>), shall exceed the maximum lawful rate (the “</w:t>
      </w:r>
      <w:r>
        <w:rPr>
          <w:rFonts w:ascii="Times New Roman" w:hAnsi="Times New Roman"/>
          <w:b/>
          <w:i/>
          <w:color w:val="000000"/>
          <w:sz w:val="22"/>
        </w:rPr>
        <w:t>Maximum Rate</w:t>
      </w:r>
      <w:r>
        <w:rPr>
          <w:color w:val="000000"/>
        </w:rPr>
        <w:t>”</w:t>
      </w:r>
      <w:r>
        <w:rPr>
          <w:rFonts w:ascii="Times New Roman" w:hAnsi="Times New Roman"/>
          <w:color w:val="000000"/>
          <w:sz w:val="22"/>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hAnsi="Times New Roman"/>
          <w:color w:val="000000"/>
          <w:sz w:val="22"/>
          <w:u w:val="single"/>
        </w:rPr>
        <w:t>Section 9.17</w:t>
      </w:r>
      <w:r>
        <w:rPr>
          <w:color w:val="000000"/>
        </w:rPr>
        <w:t xml:space="preserve"> </w:t>
      </w:r>
      <w:r>
        <w:rPr>
          <w:rFonts w:ascii="Times New Roman" w:hAnsi="Times New Roman"/>
          <w:color w:val="000000"/>
          <w:sz w:val="22"/>
        </w:rPr>
        <w:t>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14.18</w:t>
      </w:r>
    </w:p>
    <w:p>
      <w:pPr>
        <w:pStyle w:val="TextBody"/>
        <w:bidi w:val="0"/>
        <w:spacing w:before="0" w:after="240"/>
        <w:jc w:val="both"/>
        <w:rPr/>
      </w:pPr>
      <w:r>
        <w:rPr>
          <w:rFonts w:ascii="Times New Roman" w:hAnsi="Times New Roman"/>
          <w:color w:val="000000"/>
          <w:sz w:val="22"/>
          <w:u w:val="single"/>
        </w:rPr>
        <w:t>No Fiduciary Duty, Etc</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14.19</w:t>
      </w:r>
    </w:p>
    <w:p>
      <w:pPr>
        <w:pStyle w:val="TextBody"/>
        <w:bidi w:val="0"/>
        <w:spacing w:before="0" w:after="240"/>
        <w:jc w:val="both"/>
        <w:rPr/>
      </w:pPr>
      <w:r>
        <w:rPr>
          <w:rFonts w:ascii="Times New Roman" w:hAnsi="Times New Roman"/>
          <w:color w:val="000000"/>
          <w:sz w:val="22"/>
          <w:u w:val="single"/>
        </w:rPr>
        <w:t>Net Short Lenders</w:t>
      </w:r>
      <w:r>
        <w:rPr>
          <w:rFonts w:ascii="Times New Roman" w:hAnsi="Times New Roman"/>
          <w:color w:val="000000"/>
          <w:sz w:val="22"/>
        </w:rPr>
        <w:t>. Notwithstanding anything to the contrary herein, in connection with any determination as to whether the requisite Lenders have (A) consented (or not consented) to any amendment, modification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(including its Affiliates for purposes hereof) (other than any Lender that is a Regulated Bank or an Affiliate of a Regulated Bank)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that is at least 5% short with respect to the Loans and Commitments (each such Lender, a “Net Short Lender”) shall have no right to vote with respect to any amendment, modification or waiver of this Agreement or any other Loan Documents and shall be deemed to have voted its interest as a Lender without discretion in the same proportion as the allocation of voting with respect to such matter by Lenders who are not such Net Short Lenders; provided that the forgoing shall not apply to any Lender that is a Regulated Entity or, subject to the Borrower’s consent (such consent not to be unreasonably withheld, conditioned or delayed), an Affiliate of a Regulated Entity and (y) such Affiliate is also an Affiliate of a Regulated Entity. 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Administrative Agent shall be entitled to rely conclusively on each Lender as to such Lender’s status as a Net Short Lender). The Administrative Agent (and its sub-agents) shall not be responsible or have any liability for, or have any duty to ascertain, inquire into, monitor or enforce, any other Lender’s compliance with the provisions hereof relating to Net Short Lenders. Without limiting the generality of the foregoing, the Administrative Agent (and its sub-agents), in such capacity and not in its capacity as a Lender, if applicable, shall not be obligated to ascertain, monitor or inquire as to whether any Lender or Participant or prospective Assignee or Participant is a Net Short Lender.</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14.20</w:t>
      </w:r>
    </w:p>
    <w:p>
      <w:pPr>
        <w:pStyle w:val="TextBody"/>
        <w:bidi w:val="0"/>
        <w:spacing w:before="0" w:after="240"/>
        <w:jc w:val="both"/>
        <w:rPr/>
      </w:pPr>
      <w:r>
        <w:rPr>
          <w:rFonts w:ascii="Times New Roman" w:hAnsi="Times New Roman"/>
          <w:color w:val="000000"/>
          <w:sz w:val="22"/>
          <w:u w:val="single"/>
        </w:rPr>
        <w:t>Acknowledgement and Consent to Bail-In of Affected Financial Institutions</w:t>
      </w:r>
      <w:r>
        <w:rPr>
          <w:rFonts w:ascii="Times New Roman" w:hAnsi="Times New Roman"/>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effects of any Bail-In Action on any such liability, including, if applicable: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reduction in full or in part or cancellation of any such liability;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14.21</w:t>
      </w:r>
    </w:p>
    <w:p>
      <w:pPr>
        <w:pStyle w:val="TextBody"/>
        <w:bidi w:val="0"/>
        <w:spacing w:before="0" w:after="240"/>
        <w:jc w:val="both"/>
        <w:rPr/>
      </w:pPr>
      <w:r>
        <w:rPr>
          <w:rFonts w:ascii="Times New Roman" w:hAnsi="Times New Roman"/>
          <w:color w:val="000000"/>
          <w:sz w:val="22"/>
          <w:u w:val="single"/>
        </w:rPr>
        <w:t>Acknowledgement Regarding Any Supported QFCs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To the extent that the Loan Documents provide support, through a guarantee or otherwise, for Swap Agreements or any other agreement or instrument that is a QFC (such support “</w:t>
      </w:r>
      <w:r>
        <w:rPr>
          <w:rFonts w:ascii="Times New Roman" w:hAnsi="Times New Roman"/>
          <w:b/>
          <w:i/>
          <w:color w:val="000000"/>
          <w:sz w:val="22"/>
        </w:rPr>
        <w:t>QFC Credit Support</w:t>
      </w:r>
      <w:r>
        <w:rPr>
          <w:color w:val="000000"/>
        </w:rPr>
        <w:t xml:space="preserve">” </w:t>
      </w:r>
      <w:r>
        <w:rPr>
          <w:rFonts w:ascii="Times New Roman" w:hAnsi="Times New Roman"/>
          <w:color w:val="000000"/>
          <w:sz w:val="22"/>
        </w:rPr>
        <w:t>and each such QFC a “</w:t>
      </w:r>
      <w:r>
        <w:rPr>
          <w:rFonts w:ascii="Times New Roman" w:hAnsi="Times New Roman"/>
          <w:b/>
          <w:i/>
          <w:color w:val="000000"/>
          <w:sz w:val="22"/>
        </w:rPr>
        <w:t>Supported QFC</w:t>
      </w:r>
      <w:r>
        <w:rPr>
          <w:color w:val="000000"/>
        </w:rPr>
        <w:t>”</w:t>
      </w:r>
      <w:r>
        <w:rPr>
          <w:rFonts w:ascii="Times New Roman" w:hAnsi="Times New Roman"/>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i/>
          <w:color w:val="000000"/>
          <w:sz w:val="22"/>
        </w:rPr>
        <w:t>U.S. Special Resolution Regimes</w:t>
      </w:r>
      <w:r>
        <w:rPr>
          <w:color w:val="000000"/>
        </w:rPr>
        <w:t>”</w:t>
      </w:r>
      <w:r>
        <w:rPr>
          <w:rFonts w:ascii="Times New Roman" w:hAnsi="Times New Roman"/>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In the event a Covered Entity that is party to a Supported QFC (each, a “</w:t>
      </w:r>
      <w:r>
        <w:rPr>
          <w:rFonts w:ascii="Times New Roman" w:hAnsi="Times New Roman"/>
          <w:b/>
          <w:i/>
          <w:color w:val="000000"/>
          <w:sz w:val="22"/>
        </w:rPr>
        <w:t>Covered Party</w:t>
      </w:r>
      <w:r>
        <w:rPr>
          <w:color w:val="00000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center"/>
        <w:rPr>
          <w:rFonts w:ascii="Times New Roman" w:hAnsi="Times New Roman"/>
          <w:b/>
          <w:caps/>
          <w:color w:val="010000"/>
          <w:sz w:val="22"/>
        </w:rPr>
      </w:pPr>
      <w:r>
        <w:rPr>
          <w:rFonts w:ascii="Times New Roman" w:hAnsi="Times New Roman"/>
          <w:b/>
          <w:caps/>
          <w:color w:val="010000"/>
          <w:sz w:val="22"/>
        </w:rPr>
        <w:t>Article XV</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br/>
        <w:br/>
        <w:t>LOAN GUARANTY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15.01</w:t>
      </w:r>
    </w:p>
    <w:p>
      <w:pPr>
        <w:pStyle w:val="TextBody"/>
        <w:bidi w:val="0"/>
        <w:spacing w:before="0" w:after="240"/>
        <w:jc w:val="both"/>
        <w:rPr/>
      </w:pPr>
      <w:r>
        <w:rPr>
          <w:rFonts w:ascii="Times New Roman" w:hAnsi="Times New Roman"/>
          <w:color w:val="000000"/>
          <w:sz w:val="22"/>
          <w:u w:val="single"/>
        </w:rPr>
        <w:t>Guaranty</w:t>
      </w:r>
      <w:r>
        <w:rPr>
          <w:rFonts w:ascii="Times New Roman" w:hAnsi="Times New Roman"/>
          <w:color w:val="000000"/>
          <w:sz w:val="22"/>
        </w:rPr>
        <w:t xml:space="preserve">. Each Guarantor (other than those that have delivered a separate Loan Guaranty) hereby agrees that it is jointly and severally liable for, and, as a primary obligor and not merely as surety, absolutely, unconditionally and irrevocably guarantees to the Secured Parties, the prompt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payment when due, whether at stated maturity, upon acceleration or otherwise, and at all times thereafter, of the Secured Obligations and all reasonable out of pocket costs and expenses to which the Secured Parties are entitled to reimbursement under </w:t>
      </w:r>
      <w:r>
        <w:rPr>
          <w:rFonts w:ascii="Times New Roman" w:hAnsi="Times New Roman"/>
          <w:color w:val="000000"/>
          <w:sz w:val="22"/>
          <w:u w:val="single"/>
        </w:rPr>
        <w:t>Section 9.03</w:t>
      </w:r>
      <w:r>
        <w:rPr>
          <w:rFonts w:ascii="Times New Roman" w:hAnsi="Times New Roman"/>
          <w:color w:val="000000"/>
          <w:sz w:val="22"/>
        </w:rPr>
        <w:t xml:space="preserve">, including, without limitation, all court costs and reasonable attorneys’ and paralegals’ fees and expenses paid or incurred by the Administrative Agent, the Issuing Banks and the Lenders in endeavoring to collect all or any part of the Secured Obligations from, or in prosecuting any action against, the Borrower, any Guarantor or any other guarantor of all or any part of the Secured Obligations, in each case, to the extent reimbursable under </w:t>
      </w:r>
      <w:r>
        <w:rPr>
          <w:rFonts w:ascii="Times New Roman" w:hAnsi="Times New Roman"/>
          <w:color w:val="000000"/>
          <w:sz w:val="22"/>
          <w:u w:val="single"/>
        </w:rPr>
        <w:t>Section 9.03</w:t>
      </w:r>
      <w:r>
        <w:rPr>
          <w:color w:val="000000"/>
        </w:rPr>
        <w:t xml:space="preserve"> </w:t>
      </w:r>
      <w:r>
        <w:rPr>
          <w:rFonts w:ascii="Times New Roman" w:hAnsi="Times New Roman"/>
          <w:color w:val="000000"/>
          <w:sz w:val="22"/>
        </w:rPr>
        <w:t>(such costs and expenses, together with the Secured Obligations, collectively the “</w:t>
      </w:r>
      <w:r>
        <w:rPr>
          <w:rFonts w:ascii="Times New Roman" w:hAnsi="Times New Roman"/>
          <w:b/>
          <w:i/>
          <w:color w:val="000000"/>
          <w:sz w:val="22"/>
        </w:rPr>
        <w:t>Guaranteed Obligations</w:t>
      </w:r>
      <w:r>
        <w:rPr>
          <w:color w:val="00000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definition of “Guaranteed Obligations” shall not create any guarantee by any Guarantor of (or grant of security interest by any Guarantor to support, as applicable) any Excluded Swap Obligations of such Guarantor for purposes of determining any obligations of any Guarantor. Each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 This Loan Guaranty is a continuing guarantee and shall remain in effect until the Maturity Date. Each Guarantor hereby irrevocably waives any right to revoke this Loan Guaranty as to future transactions giving rise to any Guaranteed Obligations.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15.02</w:t>
      </w:r>
    </w:p>
    <w:p>
      <w:pPr>
        <w:pStyle w:val="TextBody"/>
        <w:bidi w:val="0"/>
        <w:spacing w:before="0" w:after="240"/>
        <w:jc w:val="both"/>
        <w:rPr/>
      </w:pPr>
      <w:r>
        <w:rPr>
          <w:rFonts w:ascii="Times New Roman" w:hAnsi="Times New Roman"/>
          <w:color w:val="000000"/>
          <w:sz w:val="22"/>
          <w:u w:val="single"/>
        </w:rPr>
        <w:t>Guaranty of Payment</w:t>
      </w:r>
      <w:r>
        <w:rPr>
          <w:rFonts w:ascii="Times New Roman" w:hAnsi="Times New Roman"/>
          <w:color w:val="000000"/>
          <w:sz w:val="22"/>
        </w:rPr>
        <w:t>. This Loan Guaranty is a guaranty of payment and not of collection. Each Guarantor waives (to the extent permitted by applicable law) any right to require the Administrative Agent, the Issuing Bank or any Lender to sue the Borrower, any Guarantor, any other guarantor, or any other Person obligated for all or any part of the Guaranteed Obligations (each, an “</w:t>
      </w:r>
      <w:r>
        <w:rPr>
          <w:rFonts w:ascii="Times New Roman" w:hAnsi="Times New Roman"/>
          <w:b/>
          <w:i/>
          <w:color w:val="000000"/>
          <w:sz w:val="22"/>
        </w:rPr>
        <w:t>Obligated Party</w:t>
      </w:r>
      <w:r>
        <w:rPr>
          <w:color w:val="000000"/>
        </w:rPr>
        <w:t>”</w:t>
      </w:r>
      <w:r>
        <w:rPr>
          <w:rFonts w:ascii="Times New Roman" w:hAnsi="Times New Roman"/>
          <w:color w:val="000000"/>
          <w:sz w:val="22"/>
        </w:rPr>
        <w:t>), or otherwise to enforce its payment against any collateral securing all or any part of the Guaranteed Obligations.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15.03</w:t>
      </w:r>
    </w:p>
    <w:p>
      <w:pPr>
        <w:pStyle w:val="TextBody"/>
        <w:bidi w:val="0"/>
        <w:spacing w:before="0" w:after="240"/>
        <w:jc w:val="both"/>
        <w:rPr/>
      </w:pPr>
      <w:r>
        <w:rPr>
          <w:rFonts w:ascii="Times New Roman" w:hAnsi="Times New Roman"/>
          <w:color w:val="000000"/>
          <w:sz w:val="22"/>
          <w:u w:val="single"/>
        </w:rPr>
        <w:t>No Discharge or Diminishment of Loan Guaranty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for herein, the obligations of each Guarantor hereunder are unconditional and absolute and not subject to any reduction, limitation, impairment or termination for any reason (other than the payment of the applicable portion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Guarantor may have at any time against any Obligated Party, the Administrative Agent, the Issuing Bank, any Lender, or any other Person, whether in connection herewith or in any unrelated transactions.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each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Further, the obligations of any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Guarantor or that would otherwise operate as a discharge of any Guarantor as a matter of law or equity (other than the payment of the applicable portion of the Guaranteed Obligations).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15.04</w:t>
      </w:r>
    </w:p>
    <w:p>
      <w:pPr>
        <w:pStyle w:val="TextBody"/>
        <w:bidi w:val="0"/>
        <w:spacing w:before="0" w:after="240"/>
        <w:jc w:val="both"/>
        <w:rPr/>
      </w:pPr>
      <w:r>
        <w:rPr>
          <w:rFonts w:ascii="Times New Roman" w:hAnsi="Times New Roman"/>
          <w:color w:val="000000"/>
          <w:sz w:val="22"/>
          <w:u w:val="single"/>
        </w:rPr>
        <w:t>Defenses Waived</w:t>
      </w:r>
      <w:r>
        <w:rPr>
          <w:rFonts w:ascii="Times New Roman" w:hAnsi="Times New Roman"/>
          <w:color w:val="000000"/>
          <w:sz w:val="22"/>
        </w:rPr>
        <w:t>. To the fullest extent permitted by applicable law, each Guarantor hereby waives any defense based on or arising out of any defense of the Borrower or any Guarantor or the unenforceability of all or any part of the Guaranteed Obligations from any cause, or the cessation from any cause of the liability of the Borrower, any Guarantor or any other Obligated Party, other than, in each case, the payment of the applicable portion of the Guaranteed Obligations. Without limiting the generality of the foregoing, each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Guarantor under this Loan Guaranty, except to the extent the Guaranteed Obligations have been Paid in Full. To the fullest extent permitted by applicable law, each Guarantor waives any defense arising out of any such election even though that election may operate, pursuant to applicable law, to impair or extinguish any right of reimbursement or subrogation or other right or remedy of any Guarantor against any Obligated Party or any security.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15.05</w:t>
      </w:r>
    </w:p>
    <w:p>
      <w:pPr>
        <w:pStyle w:val="TextBody"/>
        <w:bidi w:val="0"/>
        <w:spacing w:before="0" w:after="240"/>
        <w:jc w:val="both"/>
        <w:rPr/>
      </w:pPr>
      <w:r>
        <w:rPr>
          <w:rFonts w:ascii="Times New Roman" w:hAnsi="Times New Roman"/>
          <w:color w:val="000000"/>
          <w:sz w:val="22"/>
          <w:u w:val="single"/>
        </w:rPr>
        <w:t>Rights of Subrogation</w:t>
      </w:r>
      <w:r>
        <w:rPr>
          <w:rFonts w:ascii="Times New Roman" w:hAnsi="Times New Roman"/>
          <w:color w:val="000000"/>
          <w:sz w:val="22"/>
        </w:rPr>
        <w:t>. No Guarantor will assert any right, claim or cause of action, including, without limitation, a claim of subrogation, contribution or indemnification that it has against any Obligated Party, or any collateral, until the Payment in Full of the Secured Obligations.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15.06</w:t>
      </w:r>
    </w:p>
    <w:p>
      <w:pPr>
        <w:pStyle w:val="TextBody"/>
        <w:bidi w:val="0"/>
        <w:spacing w:before="0" w:after="240"/>
        <w:jc w:val="both"/>
        <w:rPr/>
      </w:pPr>
      <w:r>
        <w:rPr>
          <w:rFonts w:ascii="Times New Roman" w:hAnsi="Times New Roman"/>
          <w:color w:val="000000"/>
          <w:sz w:val="22"/>
          <w:u w:val="single"/>
        </w:rPr>
        <w:t>Reinstatement; Stay of Acceleration</w:t>
      </w:r>
      <w:r>
        <w:rPr>
          <w:rFonts w:ascii="Times New Roman" w:hAnsi="Times New Roman"/>
          <w:color w:val="000000"/>
          <w:sz w:val="22"/>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Guarantors forthwith on demand by the Administrative Agent.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15.07</w:t>
      </w:r>
    </w:p>
    <w:p>
      <w:pPr>
        <w:pStyle w:val="TextBody"/>
        <w:bidi w:val="0"/>
        <w:spacing w:before="0" w:after="240"/>
        <w:jc w:val="both"/>
        <w:rPr/>
      </w:pPr>
      <w:r>
        <w:rPr>
          <w:rFonts w:ascii="Times New Roman" w:hAnsi="Times New Roman"/>
          <w:color w:val="000000"/>
          <w:sz w:val="22"/>
          <w:u w:val="single"/>
        </w:rPr>
        <w:t>Information</w:t>
      </w:r>
      <w:r>
        <w:rPr>
          <w:rFonts w:ascii="Times New Roman" w:hAnsi="Times New Roman"/>
          <w:color w:val="000000"/>
          <w:sz w:val="22"/>
        </w:rPr>
        <w:t xml:space="preserve">. Each Guarantor assumes all responsibility for being and keeping itself informed of the Borrower’s financial condition and assets, and of all other circumstances bearing upon the risk of nonpayment of the Guaranteed Obligations and the nature, scope and extent of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risks that each Guarantor assumes and incurs under this Loan Guaranty, and agrees that none of the Administrative Agent, the Issuing Bank or any Lender shall have any duty to advise any Guarantor of information known to it regarding those circumstances or risks.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15.08</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[Intentionally Omitted].</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15.09</w:t>
      </w:r>
    </w:p>
    <w:p>
      <w:pPr>
        <w:pStyle w:val="TextBody"/>
        <w:bidi w:val="0"/>
        <w:spacing w:before="0" w:after="240"/>
        <w:jc w:val="both"/>
        <w:rPr/>
      </w:pPr>
      <w:r>
        <w:rPr>
          <w:rFonts w:ascii="Times New Roman" w:hAnsi="Times New Roman"/>
          <w:color w:val="000000"/>
          <w:sz w:val="22"/>
          <w:u w:val="single"/>
        </w:rPr>
        <w:t>[Intentionally Omitted]</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15.10</w:t>
      </w:r>
    </w:p>
    <w:p>
      <w:pPr>
        <w:pStyle w:val="TextBody"/>
        <w:bidi w:val="0"/>
        <w:spacing w:before="0" w:after="240"/>
        <w:jc w:val="both"/>
        <w:rPr/>
      </w:pPr>
      <w:r>
        <w:rPr>
          <w:rFonts w:ascii="Times New Roman" w:hAnsi="Times New Roman"/>
          <w:color w:val="000000"/>
          <w:sz w:val="22"/>
          <w:u w:val="single"/>
        </w:rPr>
        <w:t>Maximum Liability</w:t>
      </w:r>
      <w:r>
        <w:rPr>
          <w:rFonts w:ascii="Times New Roman" w:hAnsi="Times New Roman"/>
          <w:color w:val="000000"/>
          <w:sz w:val="22"/>
        </w:rPr>
        <w:t>. The provisions of this Loan Guaranty are severable, and in any action or proceeding involving any state corporate law, or any state, federal or foreign bankruptcy, insolvency, reorganization or other law affecting the rights of creditors generally, if the obligations of any Guarantor under this Loan Guaranty would otherwise be held or determined to be avoidable, invalid or unenforceable on account of the amount of such Guarantor’s liability under this Loan Guaranty, then, notwithstanding any other provision of this Loan Guaranty to the contrary, the amount of such liability shall, without any further action by the Guarantors or the Administrative Agent, the Issuing Bank or any Lender, be automatically limited and reduced to the highest amount that is valid and enforceable as determined in such action or proceeding (such highest amount determined hereunder being the relevant Guarantor’s “</w:t>
      </w:r>
      <w:r>
        <w:rPr>
          <w:rFonts w:ascii="Times New Roman" w:hAnsi="Times New Roman"/>
          <w:b/>
          <w:i/>
          <w:color w:val="000000"/>
          <w:sz w:val="22"/>
        </w:rPr>
        <w:t>Maximum Liability</w:t>
      </w:r>
      <w:r>
        <w:rPr>
          <w:color w:val="000000"/>
        </w:rPr>
        <w:t>”</w:t>
      </w:r>
      <w:r>
        <w:rPr>
          <w:rFonts w:ascii="Times New Roman" w:hAnsi="Times New Roman"/>
          <w:color w:val="000000"/>
          <w:sz w:val="22"/>
        </w:rPr>
        <w:t xml:space="preserve">). This </w:t>
      </w:r>
      <w:r>
        <w:rPr>
          <w:rFonts w:ascii="Times New Roman" w:hAnsi="Times New Roman"/>
          <w:color w:val="000000"/>
          <w:sz w:val="22"/>
          <w:u w:val="single"/>
        </w:rPr>
        <w:t>Section 10.10</w:t>
      </w:r>
      <w:r>
        <w:rPr>
          <w:color w:val="000000"/>
        </w:rPr>
        <w:t xml:space="preserve"> </w:t>
      </w:r>
      <w:r>
        <w:rPr>
          <w:rFonts w:ascii="Times New Roman" w:hAnsi="Times New Roman"/>
          <w:color w:val="000000"/>
          <w:sz w:val="22"/>
        </w:rPr>
        <w:t xml:space="preserve">with respect to the Maximum Liability of each Guarantor is intended solely to preserve the rights of the Administrative Agent, the Issuing Banks and the Lenders to the maximum extent not subject to avoidance under applicable law, and no Guarantor nor any other Person shall have any right or claim under this </w:t>
      </w:r>
      <w:r>
        <w:rPr>
          <w:rFonts w:ascii="Times New Roman" w:hAnsi="Times New Roman"/>
          <w:color w:val="000000"/>
          <w:sz w:val="22"/>
          <w:u w:val="single"/>
        </w:rPr>
        <w:t>Section 10.10</w:t>
      </w:r>
      <w:r>
        <w:rPr>
          <w:color w:val="000000"/>
        </w:rPr>
        <w:t xml:space="preserve"> </w:t>
      </w:r>
      <w:r>
        <w:rPr>
          <w:rFonts w:ascii="Times New Roman" w:hAnsi="Times New Roman"/>
          <w:color w:val="000000"/>
          <w:sz w:val="22"/>
        </w:rPr>
        <w:t xml:space="preserve">with respect to such Maximum Liability, except to the extent necessary so that the obligations of any Guarantor hereunder shall not be rendered voidable under applicable law. Each Guarantor agrees that the Guaranteed Obligations may at any time and from time to time exceed the Maximum Liability of each Guarantor without impairing this Loan Guaranty or affecting the rights and remedies of the Administrative Agent, the Issuing Bank or the Lenders hereunder; </w:t>
      </w:r>
      <w:r>
        <w:rPr>
          <w:rFonts w:ascii="Times New Roman" w:hAnsi="Times New Roman"/>
          <w:i/>
          <w:color w:val="000000"/>
          <w:sz w:val="22"/>
        </w:rPr>
        <w:t xml:space="preserve">provided </w:t>
      </w:r>
      <w:r>
        <w:rPr>
          <w:rFonts w:ascii="Times New Roman" w:hAnsi="Times New Roman"/>
          <w:color w:val="000000"/>
          <w:sz w:val="22"/>
        </w:rPr>
        <w:t>that nothing in this sentence shall be construed to increase any Guarantor’s obligations hereunder beyond its Maximum Liability. Notwithstanding any other provision of this Loan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Loan Guaranty, any other agreement or applicable law shall be taken into account.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15.11</w:t>
      </w:r>
    </w:p>
    <w:p>
      <w:pPr>
        <w:pStyle w:val="TextBody"/>
        <w:bidi w:val="0"/>
        <w:spacing w:before="0" w:after="240"/>
        <w:jc w:val="both"/>
        <w:rPr/>
      </w:pPr>
      <w:r>
        <w:rPr>
          <w:rFonts w:ascii="Times New Roman" w:hAnsi="Times New Roman"/>
          <w:color w:val="000000"/>
          <w:sz w:val="22"/>
          <w:u w:val="single"/>
        </w:rPr>
        <w:t>Contribution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pPr>
      <w:r>
        <w:rPr>
          <w:rFonts w:ascii="Times New Roman" w:hAnsi="Times New Roman"/>
          <w:color w:val="000000"/>
          <w:sz w:val="22"/>
        </w:rPr>
        <w:t>To the extent that any Guarantor shall make a payment under this Loan Guaranty (a “</w:t>
      </w:r>
      <w:r>
        <w:rPr>
          <w:rFonts w:ascii="Times New Roman" w:hAnsi="Times New Roman"/>
          <w:b/>
          <w:i/>
          <w:color w:val="000000"/>
          <w:sz w:val="22"/>
        </w:rPr>
        <w:t>Guarantor Payment</w:t>
      </w:r>
      <w:r>
        <w:rPr>
          <w:color w:val="000000"/>
        </w:rPr>
        <w:t>”</w:t>
      </w:r>
      <w:r>
        <w:rPr>
          <w:rFonts w:ascii="Times New Roman" w:hAnsi="Times New Roman"/>
          <w:color w:val="000000"/>
          <w:sz w:val="22"/>
        </w:rPr>
        <w:t>)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payment in full in cash of the Guarantor Payment, the Payment in Full of the Guaranteed Obligations and the termination of this Agreement,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pPr>
      <w:r>
        <w:rPr>
          <w:rFonts w:ascii="Times New Roman" w:hAnsi="Times New Roman"/>
          <w:color w:val="000000"/>
          <w:sz w:val="22"/>
        </w:rPr>
        <w:t xml:space="preserve">This </w:t>
      </w:r>
      <w:r>
        <w:rPr>
          <w:rFonts w:ascii="Times New Roman" w:hAnsi="Times New Roman"/>
          <w:color w:val="000000"/>
          <w:sz w:val="22"/>
          <w:u w:val="single"/>
        </w:rPr>
        <w:t>Section 10.11</w:t>
      </w:r>
      <w:r>
        <w:rPr>
          <w:color w:val="000000"/>
        </w:rPr>
        <w:t xml:space="preserve"> </w:t>
      </w:r>
      <w:r>
        <w:rPr>
          <w:rFonts w:ascii="Times New Roman" w:hAnsi="Times New Roman"/>
          <w:color w:val="000000"/>
          <w:sz w:val="22"/>
        </w:rPr>
        <w:t xml:space="preserve">is intended only to define the relative rights of the Guarantors, and nothing set forth in this </w:t>
      </w:r>
      <w:r>
        <w:rPr>
          <w:rFonts w:ascii="Times New Roman" w:hAnsi="Times New Roman"/>
          <w:color w:val="000000"/>
          <w:sz w:val="22"/>
          <w:u w:val="single"/>
        </w:rPr>
        <w:t>Section 10.11</w:t>
      </w:r>
      <w:r>
        <w:rPr>
          <w:color w:val="000000"/>
        </w:rPr>
        <w:t xml:space="preserve"> </w:t>
      </w:r>
      <w:r>
        <w:rPr>
          <w:rFonts w:ascii="Times New Roman" w:hAnsi="Times New Roman"/>
          <w:color w:val="000000"/>
          <w:sz w:val="22"/>
        </w:rPr>
        <w:t>is intended to or shall impair the obligations of the Guarantors, jointly and severally, to pay any amounts as and when the same shall become due and payable in accordance with the terms of this Loan Guaranty.</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hereto acknowledge that the rights of contribution and indemnification hereunder shall constitute assets of the Guarantor or Guarantors to which such contribution and indemnification is owing.</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both"/>
        <w:rPr/>
      </w:pPr>
      <w:r>
        <w:rPr>
          <w:rFonts w:ascii="Times New Roman" w:hAnsi="Times New Roman"/>
          <w:color w:val="000000"/>
          <w:sz w:val="22"/>
        </w:rPr>
        <w:t xml:space="preserve">The rights of the indemnifying Guarantors against other Guarantors under this </w:t>
      </w:r>
      <w:r>
        <w:rPr>
          <w:rFonts w:ascii="Times New Roman" w:hAnsi="Times New Roman"/>
          <w:color w:val="000000"/>
          <w:sz w:val="22"/>
          <w:u w:val="single"/>
        </w:rPr>
        <w:t>Section 10.11</w:t>
      </w:r>
      <w:r>
        <w:rPr>
          <w:color w:val="000000"/>
        </w:rPr>
        <w:t xml:space="preserve"> </w:t>
      </w:r>
      <w:r>
        <w:rPr>
          <w:rFonts w:ascii="Times New Roman" w:hAnsi="Times New Roman"/>
          <w:color w:val="000000"/>
          <w:sz w:val="22"/>
        </w:rPr>
        <w:t>shall be exercisable upon the Payment in Full of the Guaranteed Obligations and the termination of this Agreement.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15.12</w:t>
      </w:r>
    </w:p>
    <w:p>
      <w:pPr>
        <w:pStyle w:val="TextBody"/>
        <w:bidi w:val="0"/>
        <w:spacing w:before="0" w:after="240"/>
        <w:jc w:val="both"/>
        <w:rPr/>
      </w:pPr>
      <w:r>
        <w:rPr>
          <w:rFonts w:ascii="Times New Roman" w:hAnsi="Times New Roman"/>
          <w:color w:val="000000"/>
          <w:sz w:val="22"/>
          <w:u w:val="single"/>
        </w:rPr>
        <w:t>Liability Cumulative</w:t>
      </w:r>
      <w:r>
        <w:rPr>
          <w:rFonts w:ascii="Times New Roman" w:hAnsi="Times New Roman"/>
          <w:color w:val="000000"/>
          <w:sz w:val="22"/>
        </w:rPr>
        <w:t xml:space="preserve">. The liability of each Loan Party as a Guarantor under this </w:t>
      </w:r>
      <w:r>
        <w:rPr>
          <w:rFonts w:ascii="Times New Roman" w:hAnsi="Times New Roman"/>
          <w:color w:val="000000"/>
          <w:sz w:val="22"/>
          <w:u w:val="single"/>
        </w:rPr>
        <w:t>Article X</w:t>
      </w:r>
      <w:r>
        <w:rPr>
          <w:color w:val="000000"/>
        </w:rPr>
        <w:t xml:space="preserve"> </w:t>
      </w:r>
      <w:r>
        <w:rPr>
          <w:rFonts w:ascii="Times New Roman" w:hAnsi="Times New Roman"/>
          <w:color w:val="000000"/>
          <w:sz w:val="22"/>
        </w:rPr>
        <w:t>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15.13</w:t>
      </w:r>
    </w:p>
    <w:p>
      <w:pPr>
        <w:pStyle w:val="TextBody"/>
        <w:bidi w:val="0"/>
        <w:spacing w:before="0" w:after="240"/>
        <w:jc w:val="both"/>
        <w:rPr/>
      </w:pPr>
      <w:r>
        <w:rPr>
          <w:rFonts w:ascii="Times New Roman" w:hAnsi="Times New Roman"/>
          <w:color w:val="000000"/>
          <w:sz w:val="22"/>
          <w:u w:val="single"/>
        </w:rPr>
        <w:t>Keepwell</w:t>
      </w:r>
      <w:r>
        <w:rPr>
          <w:rFonts w:ascii="Times New Roman" w:hAnsi="Times New Roman"/>
          <w:color w:val="000000"/>
          <w:sz w:val="22"/>
        </w:rPr>
        <w:t>. Each Qualified ECP Guarantor hereby jointly and severally absolutely, unconditionally and irrevocably undertakes to provide such funds or other support as may be needed from time to time by each other Loan Party to honor all of its obligations under this Loan Guaranty in respect of a Swap Obligation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each Qualified ECP Guarantor shall only be liable under this </w:t>
      </w:r>
      <w:r>
        <w:rPr>
          <w:rFonts w:ascii="Times New Roman" w:hAnsi="Times New Roman"/>
          <w:color w:val="000000"/>
          <w:sz w:val="22"/>
          <w:u w:val="single"/>
        </w:rPr>
        <w:t>Section 10.13</w:t>
      </w:r>
      <w:r>
        <w:rPr>
          <w:color w:val="000000"/>
        </w:rPr>
        <w:t xml:space="preserve"> </w:t>
      </w:r>
      <w:r>
        <w:rPr>
          <w:rFonts w:ascii="Times New Roman" w:hAnsi="Times New Roman"/>
          <w:color w:val="000000"/>
          <w:sz w:val="22"/>
        </w:rPr>
        <w:t xml:space="preserve">for the maximum amount of such liability that can be hereby incurred without rendering its obligations under this </w:t>
      </w:r>
      <w:r>
        <w:rPr>
          <w:rFonts w:ascii="Times New Roman" w:hAnsi="Times New Roman"/>
          <w:color w:val="000000"/>
          <w:sz w:val="22"/>
          <w:u w:val="single"/>
        </w:rPr>
        <w:t>Section 10.13</w:t>
      </w:r>
      <w:r>
        <w:rPr>
          <w:color w:val="000000"/>
        </w:rPr>
        <w:t xml:space="preserve"> </w:t>
      </w:r>
      <w:r>
        <w:rPr>
          <w:rFonts w:ascii="Times New Roman" w:hAnsi="Times New Roman"/>
          <w:color w:val="000000"/>
          <w:sz w:val="22"/>
        </w:rPr>
        <w:t xml:space="preserve">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 w:hAnsi="Times New Roman"/>
          <w:color w:val="000000"/>
          <w:sz w:val="22"/>
          <w:u w:val="single"/>
        </w:rPr>
        <w:t>Section 10.13</w:t>
      </w:r>
      <w:r>
        <w:rPr>
          <w:color w:val="000000"/>
        </w:rPr>
        <w:t xml:space="preserve"> </w:t>
      </w:r>
      <w:r>
        <w:rPr>
          <w:rFonts w:ascii="Times New Roman" w:hAnsi="Times New Roman"/>
          <w:color w:val="000000"/>
          <w:sz w:val="22"/>
        </w:rPr>
        <w:t xml:space="preserve">shall remain in full force and effect until the termination of all Swap Obligations. Each Qualified ECP Guarantor intends that this </w:t>
      </w:r>
      <w:r>
        <w:rPr>
          <w:rFonts w:ascii="Times New Roman" w:hAnsi="Times New Roman"/>
          <w:color w:val="000000"/>
          <w:sz w:val="22"/>
          <w:u w:val="single"/>
        </w:rPr>
        <w:t>Section 10.13</w:t>
      </w:r>
      <w:r>
        <w:rPr>
          <w:color w:val="000000"/>
        </w:rPr>
        <w:t xml:space="preserve"> </w:t>
      </w:r>
      <w:r>
        <w:rPr>
          <w:rFonts w:ascii="Times New Roman" w:hAnsi="Times New Roman"/>
          <w:color w:val="000000"/>
          <w:sz w:val="22"/>
        </w:rPr>
        <w:t xml:space="preserve">constitute, and this </w:t>
      </w:r>
      <w:r>
        <w:rPr>
          <w:rFonts w:ascii="Times New Roman" w:hAnsi="Times New Roman"/>
          <w:color w:val="000000"/>
          <w:sz w:val="22"/>
          <w:u w:val="single"/>
        </w:rPr>
        <w:t>Section 10.13</w:t>
      </w:r>
      <w:r>
        <w:rPr>
          <w:color w:val="000000"/>
        </w:rPr>
        <w:t xml:space="preserve"> </w:t>
      </w:r>
      <w:r>
        <w:rPr>
          <w:rFonts w:ascii="Times New Roman" w:hAnsi="Times New Roman"/>
          <w:color w:val="000000"/>
          <w:sz w:val="22"/>
        </w:rPr>
        <w:t>shall be deemed to constitute, a “keepwell, support, or other agreement” for the benefit of each other Loan Party for all purposes of Section 1a(18)(A)(v)(II) of the Commodity Exchange Act.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Section 15.14</w:t>
      </w:r>
    </w:p>
    <w:p>
      <w:pPr>
        <w:pStyle w:val="TextBody"/>
        <w:bidi w:val="0"/>
        <w:spacing w:before="0" w:after="240"/>
        <w:jc w:val="both"/>
        <w:rPr/>
      </w:pPr>
      <w:r>
        <w:rPr>
          <w:rFonts w:ascii="Times New Roman" w:hAnsi="Times New Roman"/>
          <w:color w:val="000000"/>
          <w:sz w:val="22"/>
          <w:u w:val="single"/>
        </w:rPr>
        <w:t>Release of Guarantors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Guarantor shall automatically be released from its obligations under the Loan Guaranty upon the consummation of any transaction permitted by this Agreement as a result of which such Guarantor ceases to be a Subsidiary. In connection with any release pursuant to this Section, the Administrative Agent shall (and is hereby irrevocably authorized by each Lender to) execute and deliver to any Loan Party, at such Loan Party’s sole expense, all documents that such Loan Party shall reasonably request to evidence such release. Any execution and delivery of documents pursuant to this Section shall be without recourse to or warranty by the Administrative Agent.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pPr>
      <w:r>
        <w:rPr>
          <w:rFonts w:ascii="Times New Roman" w:hAnsi="Times New Roman"/>
          <w:color w:val="000000"/>
          <w:sz w:val="22"/>
        </w:rPr>
        <w:t xml:space="preserve">Further, the Administrative Agent shall (and is hereby irrevocably authorized by each Lender to), upon the request of the Borrower, release any Guarantor from its obligations under the Loan Guaranty if such Guarantor becomes an Excluded Subsidiary or is disposed in accordance with this Agreement to a Person that is not a Loan Party; </w:t>
      </w:r>
      <w:r>
        <w:rPr>
          <w:rFonts w:ascii="Times New Roman" w:hAnsi="Times New Roman"/>
          <w:i/>
          <w:color w:val="000000"/>
          <w:sz w:val="22"/>
        </w:rPr>
        <w:t>provided,</w:t>
      </w:r>
      <w:r>
        <w:rPr>
          <w:color w:val="000000"/>
        </w:rPr>
        <w:t xml:space="preserve"> </w:t>
      </w:r>
      <w:r>
        <w:rPr>
          <w:rFonts w:ascii="Times New Roman" w:hAnsi="Times New Roman"/>
          <w:color w:val="000000"/>
          <w:sz w:val="22"/>
        </w:rPr>
        <w:t>that if any Guarantor ceases to be a wholly-owned Domestic Subsidiary of the Borrower, such Subsidiary shall not be released from its obligations under the Loan Guaranty if the primary reason that such Guarantor has become an Excluded Subsidiary is as a result of a transfer of the Equity Interests of such Guarantor to an Affiliate of the Borrower that was done other than for a bona fide business purpose and in contemplation of adversely affecting the Secured Parties’ interests in the Loan Guaranty and/or Collateral.</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such time as the principal and interest on the Loans, all LC Disbursements, the fees, expenses and other amounts payable under the Loan Documents and the other Secured Obligations shall have been Paid in Full, all obligations (other than those expressly stated to survive such termination) of each Guarantor thereunder shall automatically terminate, all without delivery of any instrument or performance of any act by any Person.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pPr>
      <w:r>
        <w:rPr>
          <w:rFonts w:ascii="Times New Roman" w:hAnsi="Times New Roman"/>
          <w:color w:val="000000"/>
          <w:sz w:val="22"/>
        </w:rPr>
        <w:t xml:space="preserve">Upon the effectiveness of any written consent to the release of the security interest created under any Collateral Document in any Collateral pursuant to </w:t>
      </w:r>
      <w:r>
        <w:rPr>
          <w:rFonts w:ascii="Times New Roman" w:hAnsi="Times New Roman"/>
          <w:color w:val="000000"/>
          <w:sz w:val="22"/>
          <w:u w:val="single"/>
        </w:rPr>
        <w:t>Section 9.02</w:t>
      </w:r>
      <w:r>
        <w:rPr>
          <w:rFonts w:ascii="Times New Roman" w:hAnsi="Times New Roman"/>
          <w:color w:val="000000"/>
          <w:sz w:val="22"/>
        </w:rPr>
        <w:t>, the security interests in such Collateral created by the Collateral Documents shall be automatically released.</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Pages Intentionally Omitted]</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EXHIBIT B</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EXHIBIT 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6" w:name="fly-ex31_1.htm"/>
      <w:bookmarkStart w:id="27" w:name="ksflyex31_1"/>
      <w:bookmarkEnd w:id="26"/>
      <w:bookmarkEnd w:id="27"/>
      <w:r>
        <w:rPr>
          <w:rFonts w:ascii="Times New Roman" w:hAnsi="Times New Roman"/>
          <w:b/>
          <w:color w:val="000000"/>
          <w:sz w:val="22"/>
        </w:rPr>
        <w:t>Exhibit 31.1</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Jason Kim, certify that: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709" w:type="dxa"/>
        <w:jc w:val="left"/>
        <w:tblInd w:w="0" w:type="dxa"/>
        <w:tblLayout w:type="fixed"/>
        <w:tblCellMar>
          <w:top w:w="28" w:type="dxa"/>
          <w:left w:w="28" w:type="dxa"/>
          <w:bottom w:w="28" w:type="dxa"/>
          <w:right w:w="28" w:type="dxa"/>
        </w:tblCellMar>
      </w:tblPr>
      <w:tblGrid>
        <w:gridCol w:w="1636"/>
        <w:gridCol w:w="146"/>
        <w:gridCol w:w="406"/>
        <w:gridCol w:w="252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fly-ex31_2.htm"/>
      <w:bookmarkStart w:id="29" w:name="ksflyex31_2"/>
      <w:bookmarkEnd w:id="28"/>
      <w:bookmarkEnd w:id="29"/>
      <w:r>
        <w:rPr>
          <w:rFonts w:ascii="Times New Roman" w:hAnsi="Times New Roman"/>
          <w:b/>
          <w:color w:val="000000"/>
          <w:sz w:val="20"/>
        </w:rPr>
        <w:t>Exhibit 31.2</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Darren Ma, certify that: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0" w:after="240"/>
        <w:jc w:val="both"/>
        <w:rPr/>
      </w:pPr>
      <w:r>
        <w:rPr/>
        <w:t> </w:t>
      </w:r>
    </w:p>
    <w:tbl>
      <w:tblPr>
        <w:tblW w:w="4649" w:type="dxa"/>
        <w:jc w:val="left"/>
        <w:tblInd w:w="0" w:type="dxa"/>
        <w:tblLayout w:type="fixed"/>
        <w:tblCellMar>
          <w:top w:w="28" w:type="dxa"/>
          <w:left w:w="28" w:type="dxa"/>
          <w:bottom w:w="28" w:type="dxa"/>
          <w:right w:w="28" w:type="dxa"/>
        </w:tblCellMar>
      </w:tblPr>
      <w:tblGrid>
        <w:gridCol w:w="1636"/>
        <w:gridCol w:w="146"/>
        <w:gridCol w:w="406"/>
        <w:gridCol w:w="246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fly-ex32_1.htm"/>
      <w:bookmarkStart w:id="31" w:name="ksflyex32_1"/>
      <w:bookmarkEnd w:id="30"/>
      <w:bookmarkEnd w:id="31"/>
      <w:r>
        <w:rPr>
          <w:rFonts w:ascii="Times New Roman" w:hAnsi="Times New Roman"/>
          <w:b/>
          <w:color w:val="000000"/>
          <w:sz w:val="20"/>
        </w:rPr>
        <w:t>Exhibit 32.1</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March 31, 2026 as filed with the Securities and Exchange Commission on the date hereof (the “Report”), I, Jason Kim, as Chief Executive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09" w:type="dxa"/>
        <w:jc w:val="left"/>
        <w:tblInd w:w="0" w:type="dxa"/>
        <w:tblLayout w:type="fixed"/>
        <w:tblCellMar>
          <w:top w:w="28" w:type="dxa"/>
          <w:left w:w="28" w:type="dxa"/>
          <w:bottom w:w="28" w:type="dxa"/>
          <w:right w:w="28" w:type="dxa"/>
        </w:tblCellMar>
      </w:tblPr>
      <w:tblGrid>
        <w:gridCol w:w="1636"/>
        <w:gridCol w:w="146"/>
        <w:gridCol w:w="406"/>
        <w:gridCol w:w="252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fly-ex32_2.htm"/>
      <w:bookmarkStart w:id="33" w:name="ksflyex32_2"/>
      <w:bookmarkEnd w:id="32"/>
      <w:bookmarkEnd w:id="33"/>
      <w:r>
        <w:rPr>
          <w:rFonts w:ascii="Times New Roman" w:hAnsi="Times New Roman"/>
          <w:b/>
          <w:color w:val="000000"/>
          <w:sz w:val="20"/>
        </w:rPr>
        <w:t>Exhibit 32.2</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March 31, 2026 as filed with the Securities and Exchange Commission on the date hereof (the “Report”), I, Darren Ma, as Chief Executive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0" w:after="240"/>
        <w:jc w:val="both"/>
        <w:rPr/>
      </w:pPr>
      <w:r>
        <w:rPr/>
        <w:t> </w:t>
      </w:r>
    </w:p>
    <w:tbl>
      <w:tblPr>
        <w:tblW w:w="4649" w:type="dxa"/>
        <w:jc w:val="left"/>
        <w:tblInd w:w="0" w:type="dxa"/>
        <w:tblLayout w:type="fixed"/>
        <w:tblCellMar>
          <w:top w:w="28" w:type="dxa"/>
          <w:left w:w="28" w:type="dxa"/>
          <w:bottom w:w="28" w:type="dxa"/>
          <w:right w:w="28" w:type="dxa"/>
        </w:tblCellMar>
      </w:tblPr>
      <w:tblGrid>
        <w:gridCol w:w="1636"/>
        <w:gridCol w:w="146"/>
        <w:gridCol w:w="406"/>
        <w:gridCol w:w="246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0160/000119312526166820/fly-ex10_4.htm" TargetMode="External"/><Relationship Id="rId3" Type="http://schemas.openxmlformats.org/officeDocument/2006/relationships/hyperlink" Target="https://www.sec.gov/Archives/edgar/data/1860160/000119312526166820/fly-ex10_1.htm" TargetMode="External"/><Relationship Id="rId4" Type="http://schemas.openxmlformats.org/officeDocument/2006/relationships/hyperlink" Target="https://www.sec.gov/Archives/edgar/data/1860160/000119312526166820/fly-ex10_2.htm" TargetMode="External"/><Relationship Id="rId5" Type="http://schemas.openxmlformats.org/officeDocument/2006/relationships/hyperlink" Target="https://www.sec.gov/Archives/edgar/data/1860160/000119312526166820/fly-ex10_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136326</Words>
  <Characters>733336</Characters>
  <CharactersWithSpaces>868590</CharactersWithSpaces>
  <Paragraphs>8714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